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00A4" w14:textId="77777777" w:rsidR="00304814" w:rsidRDefault="000633BC">
      <w:pPr>
        <w:spacing w:before="156" w:line="276" w:lineRule="auto"/>
        <w:rPr>
          <w:rFonts w:ascii="Century Gothic" w:hAnsi="Century Gothic"/>
        </w:rPr>
      </w:pPr>
      <w:r>
        <w:rPr>
          <w:noProof/>
        </w:rPr>
        <mc:AlternateContent>
          <mc:Choice Requires="wps">
            <w:drawing>
              <wp:anchor distT="12065" distB="29845" distL="12065" distR="28575" simplePos="0" relativeHeight="27" behindDoc="0" locked="0" layoutInCell="0" allowOverlap="1" wp14:anchorId="5D9BE75F" wp14:editId="410818E1">
                <wp:simplePos x="0" y="0"/>
                <wp:positionH relativeFrom="column">
                  <wp:posOffset>520700</wp:posOffset>
                </wp:positionH>
                <wp:positionV relativeFrom="paragraph">
                  <wp:posOffset>13970</wp:posOffset>
                </wp:positionV>
                <wp:extent cx="5676900" cy="1924050"/>
                <wp:effectExtent l="635" t="635" r="1270" b="1270"/>
                <wp:wrapTopAndBottom/>
                <wp:docPr id="4" name="Rectangle à coins arrondis 6"/>
                <wp:cNvGraphicFramePr/>
                <a:graphic xmlns:a="http://schemas.openxmlformats.org/drawingml/2006/main">
                  <a:graphicData uri="http://schemas.microsoft.com/office/word/2010/wordprocessingShape">
                    <wps:wsp>
                      <wps:cNvSpPr/>
                      <wps:spPr bwMode="auto">
                        <a:xfrm>
                          <a:off x="0" y="0"/>
                          <a:ext cx="5676840" cy="1924200"/>
                        </a:xfrm>
                        <a:prstGeom prst="roundRect">
                          <a:avLst>
                            <a:gd name="adj" fmla="val 16667"/>
                          </a:avLst>
                        </a:prstGeom>
                        <a:solidFill>
                          <a:srgbClr val="FFFFFF"/>
                        </a:solidFill>
                        <a:ln w="0">
                          <a:solidFill>
                            <a:srgbClr val="4BACC6"/>
                          </a:solidFill>
                        </a:ln>
                      </wps:spPr>
                      <wps:style>
                        <a:lnRef idx="2">
                          <a:schemeClr val="accent5"/>
                        </a:lnRef>
                        <a:fillRef idx="1">
                          <a:schemeClr val="lt1"/>
                        </a:fillRef>
                        <a:effectRef idx="0">
                          <a:schemeClr val="accent5"/>
                        </a:effectRef>
                        <a:fontRef idx="minor"/>
                      </wps:style>
                      <wps:txbx>
                        <w:txbxContent>
                          <w:p w14:paraId="17B0609E" w14:textId="77777777" w:rsidR="00304814" w:rsidRDefault="000633BC">
                            <w:pPr>
                              <w:pStyle w:val="Contenudecadre"/>
                              <w:widowControl w:val="0"/>
                              <w:jc w:val="center"/>
                              <w:rPr>
                                <w:rFonts w:ascii="Calibri" w:hAnsi="Calibri"/>
                                <w:b/>
                                <w:color w:val="000000"/>
                                <w:sz w:val="36"/>
                                <w:szCs w:val="36"/>
                              </w:rPr>
                            </w:pPr>
                            <w:r>
                              <w:rPr>
                                <w:rFonts w:ascii="Calibri" w:hAnsi="Calibri"/>
                                <w:b/>
                                <w:color w:val="000000" w:themeColor="text1"/>
                                <w:sz w:val="36"/>
                                <w:szCs w:val="36"/>
                              </w:rPr>
                              <w:t xml:space="preserve">REGLEMENT D’EXAMEN ET MODALITES DE CONTROLE DES CONNAISSANCES ET DES COMPETENCES </w:t>
                            </w:r>
                          </w:p>
                          <w:p w14:paraId="64773AE1" w14:textId="77777777" w:rsidR="00304814" w:rsidRDefault="000633BC">
                            <w:pPr>
                              <w:pStyle w:val="Contenudecadre"/>
                              <w:widowControl w:val="0"/>
                              <w:jc w:val="center"/>
                              <w:rPr>
                                <w:color w:val="000000" w:themeColor="text1"/>
                              </w:rPr>
                            </w:pPr>
                            <w:r>
                              <w:rPr>
                                <w:rFonts w:ascii="Calibri" w:hAnsi="Calibri"/>
                                <w:b/>
                                <w:color w:val="000000" w:themeColor="text1"/>
                                <w:sz w:val="36"/>
                                <w:szCs w:val="36"/>
                              </w:rPr>
                              <w:t>LICENCE ARTS-LETTRES-LANGUES</w:t>
                            </w:r>
                          </w:p>
                          <w:p w14:paraId="4D1AAD64" w14:textId="77777777" w:rsidR="00304814" w:rsidRDefault="000633BC">
                            <w:pPr>
                              <w:pStyle w:val="Contenudecadre"/>
                              <w:widowControl w:val="0"/>
                              <w:jc w:val="center"/>
                              <w:rPr>
                                <w:b/>
                              </w:rPr>
                            </w:pPr>
                            <w:r>
                              <w:rPr>
                                <w:rFonts w:ascii="Calibri" w:hAnsi="Calibri"/>
                                <w:b/>
                                <w:color w:val="000000" w:themeColor="text1"/>
                                <w:sz w:val="36"/>
                                <w:szCs w:val="36"/>
                              </w:rPr>
                              <w:t>Mention Langues Etrangères Appliquées</w:t>
                            </w:r>
                          </w:p>
                        </w:txbxContent>
                      </wps:txbx>
                      <wps:bodyPr anchor="ctr">
                        <a:prstTxWarp prst="textNoShape">
                          <a:avLst/>
                        </a:prstTxWarp>
                        <a:noAutofit/>
                      </wps:bodyPr>
                    </wps:wsp>
                  </a:graphicData>
                </a:graphic>
              </wp:anchor>
            </w:drawing>
          </mc:Choice>
          <mc:Fallback>
            <w:pict>
              <v:roundrect w14:anchorId="5D9BE75F" id="Rectangle à coins arrondis 6" o:spid="_x0000_s1026" style="position:absolute;margin-left:41pt;margin-top:1.1pt;width:447pt;height:151.5pt;z-index:27;visibility:visible;mso-wrap-style:square;mso-wrap-distance-left:.95pt;mso-wrap-distance-top:.95pt;mso-wrap-distance-right:2.25pt;mso-wrap-distance-bottom:2.3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" o:allowincell="f" strokecolor="#4bacc6" strokeweight="0">
                <v:stroke joinstyle="miter"/>
                <v:textbox>
                  <w:txbxContent>
                    <w:p w14:paraId="17B0609E" w14:textId="77777777" w:rsidR="00304814" w:rsidRDefault="000633BC">
                      <w:pPr>
                        <w:pStyle w:val="Contenudecadre"/>
                        <w:widowControl w:val="0"/>
                        <w:jc w:val="center"/>
                        <w:rPr>
                          <w:rFonts w:ascii="Calibri" w:hAnsi="Calibri"/>
                          <w:b/>
                          <w:color w:val="000000"/>
                          <w:sz w:val="36"/>
                          <w:szCs w:val="36"/>
                        </w:rPr>
                      </w:pPr>
                      <w:r>
                        <w:rPr>
                          <w:rFonts w:ascii="Calibri" w:hAnsi="Calibri"/>
                          <w:b/>
                          <w:color w:val="000000" w:themeColor="text1"/>
                          <w:sz w:val="36"/>
                          <w:szCs w:val="36"/>
                        </w:rPr>
                        <w:t xml:space="preserve">REGLEMENT D’EXAMEN ET MODALITES DE CONTROLE DES CONNAISSANCES ET DES COMPETENCES </w:t>
                      </w:r>
                    </w:p>
                    <w:p w14:paraId="64773AE1" w14:textId="77777777" w:rsidR="00304814" w:rsidRDefault="000633BC">
                      <w:pPr>
                        <w:pStyle w:val="Contenudecadre"/>
                        <w:widowControl w:val="0"/>
                        <w:jc w:val="center"/>
                        <w:rPr>
                          <w:color w:val="000000" w:themeColor="text1"/>
                        </w:rPr>
                      </w:pPr>
                      <w:r>
                        <w:rPr>
                          <w:rFonts w:ascii="Calibri" w:hAnsi="Calibri"/>
                          <w:b/>
                          <w:color w:val="000000" w:themeColor="text1"/>
                          <w:sz w:val="36"/>
                          <w:szCs w:val="36"/>
                        </w:rPr>
                        <w:t>LICENCE ARTS-LETTRES-LANGUES</w:t>
                      </w:r>
                    </w:p>
                    <w:p w14:paraId="4D1AAD64" w14:textId="77777777" w:rsidR="00304814" w:rsidRDefault="000633BC">
                      <w:pPr>
                        <w:pStyle w:val="Contenudecadre"/>
                        <w:widowControl w:val="0"/>
                        <w:jc w:val="center"/>
                        <w:rPr>
                          <w:b/>
                        </w:rPr>
                      </w:pPr>
                      <w:r>
                        <w:rPr>
                          <w:rFonts w:ascii="Calibri" w:hAnsi="Calibri"/>
                          <w:b/>
                          <w:color w:val="000000" w:themeColor="text1"/>
                          <w:sz w:val="36"/>
                          <w:szCs w:val="36"/>
                        </w:rPr>
                        <w:t>Mention Langues Etrangères Appliquées</w:t>
                      </w:r>
                    </w:p>
                  </w:txbxContent>
                </v:textbox>
                <w10:wrap type="topAndBottom"/>
              </v:roundrect>
            </w:pict>
          </mc:Fallback>
        </mc:AlternateContent>
      </w:r>
      <w:r>
        <w:rPr>
          <w:rFonts w:ascii="Century Gothic" w:eastAsia="Calibri" w:hAnsi="Century Gothic" w:cstheme="minorHAnsi"/>
          <w:b/>
          <w:color w:val="000000"/>
          <w:sz w:val="22"/>
          <w:szCs w:val="22"/>
          <w:lang w:bidi="ar-SA"/>
        </w:rPr>
        <w:t>Année universitaire 2025/2026</w:t>
      </w:r>
      <w:r>
        <w:rPr>
          <w:rFonts w:ascii="Century Gothic" w:eastAsia="Batang" w:hAnsi="Century Gothic" w:cstheme="minorHAnsi"/>
          <w:b/>
          <w:smallCaps/>
          <w:color w:val="000000"/>
          <w:sz w:val="22"/>
          <w:szCs w:val="22"/>
          <w:lang w:bidi="ar-SA"/>
        </w:rPr>
        <w:br/>
      </w:r>
      <w:r>
        <w:rPr>
          <w:rFonts w:ascii="Century Gothic" w:eastAsia="Times New Roman" w:hAnsi="Century Gothic" w:cstheme="minorHAnsi"/>
          <w:color w:val="000000"/>
          <w:sz w:val="22"/>
          <w:szCs w:val="22"/>
          <w:lang w:eastAsia="fr-FR" w:bidi="ar-SA"/>
        </w:rPr>
        <w:t xml:space="preserve">Vu le Code de l’Education et notamment les articles L.613-1 et L. 711-1 ; </w:t>
      </w:r>
    </w:p>
    <w:p w14:paraId="137AC580"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Vu l’arrêté du 9 avril 1997 relatif au diplôme d’études universitaires générales, à la licence et à la maitrise ;</w:t>
      </w:r>
    </w:p>
    <w:p w14:paraId="67F76FC0" w14:textId="77777777" w:rsidR="00304814" w:rsidRDefault="000633BC">
      <w:pPr>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t>Vu l’arrêté du 22 janvier 2014 fixant le cadre national des formations conduisant à la délivrance des diplômes nationaux de licence, de licence professionnelle et de master ;</w:t>
      </w:r>
    </w:p>
    <w:p w14:paraId="1A87180E"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Vu l’arrêté du 30 juillet 2018 relatif au diplôme national de licence ;</w:t>
      </w:r>
    </w:p>
    <w:p w14:paraId="4BB29BDD"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Vu la délibération n° 2017-06-04-ins du 20 juin 2017 portant approbation par le conseil d’administration des statuts de la Faculté des Langues ;</w:t>
      </w:r>
    </w:p>
    <w:p w14:paraId="1E1251C4" w14:textId="77777777" w:rsidR="00304814" w:rsidRDefault="000633BC">
      <w:pPr>
        <w:pStyle w:val="Titre1"/>
        <w:spacing w:before="156" w:line="276" w:lineRule="auto"/>
        <w:jc w:val="both"/>
        <w:rPr>
          <w:rFonts w:eastAsia="Times New Roman" w:cstheme="minorHAnsi"/>
          <w:color w:val="000000"/>
          <w:sz w:val="22"/>
          <w:szCs w:val="22"/>
          <w:lang w:eastAsia="fr-FR" w:bidi="ar-SA"/>
        </w:rPr>
      </w:pPr>
      <w:r>
        <w:rPr>
          <w:rFonts w:eastAsia="Times New Roman" w:cstheme="minorHAnsi"/>
          <w:color w:val="000000"/>
          <w:sz w:val="22"/>
          <w:szCs w:val="22"/>
          <w:lang w:eastAsia="fr-FR" w:bidi="ar-SA"/>
        </w:rPr>
        <w:t xml:space="preserve">Vu la délibération n° D2017-10-07-ins du 24 octobre 2017 </w:t>
      </w:r>
      <w:r>
        <w:rPr>
          <w:rFonts w:eastAsia="Times New Roman" w:cstheme="minorHAnsi"/>
          <w:color w:val="auto"/>
          <w:sz w:val="22"/>
          <w:szCs w:val="22"/>
          <w:lang w:eastAsia="fr-FR" w:bidi="ar-SA"/>
        </w:rPr>
        <w:t>modifiée</w:t>
      </w:r>
      <w:r>
        <w:rPr>
          <w:rFonts w:eastAsia="Times New Roman" w:cstheme="minorHAnsi"/>
          <w:color w:val="000000"/>
          <w:sz w:val="22"/>
          <w:szCs w:val="22"/>
          <w:lang w:eastAsia="fr-FR" w:bidi="ar-SA"/>
        </w:rPr>
        <w:t xml:space="preserve"> portant approbation par le conseil d’administration du Règlement intérieur de l’Université Jean Moulin Lyon 3 ;</w:t>
      </w:r>
    </w:p>
    <w:p w14:paraId="3FD795EF"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 xml:space="preserve">Vu la délibération n° D2019-01-01-ins du 8 janvier 2019 </w:t>
      </w:r>
      <w:r>
        <w:rPr>
          <w:rFonts w:eastAsia="Times New Roman" w:cstheme="minorHAnsi"/>
          <w:color w:val="auto"/>
          <w:sz w:val="22"/>
          <w:szCs w:val="22"/>
          <w:lang w:eastAsia="fr-FR" w:bidi="ar-SA"/>
        </w:rPr>
        <w:t>modifiée</w:t>
      </w:r>
      <w:r>
        <w:rPr>
          <w:rFonts w:eastAsia="Times New Roman" w:cstheme="minorHAnsi"/>
          <w:color w:val="000000"/>
          <w:sz w:val="22"/>
          <w:szCs w:val="22"/>
          <w:lang w:eastAsia="fr-FR" w:bidi="ar-SA"/>
        </w:rPr>
        <w:t xml:space="preserve"> portant approbation par le conseil d’administration des statuts de l’Université Jean Moulin Lyon 3 ;</w:t>
      </w:r>
    </w:p>
    <w:p w14:paraId="4C9FC179" w14:textId="77777777" w:rsidR="00304814" w:rsidRDefault="000633BC">
      <w:pPr>
        <w:pStyle w:val="Titre1"/>
        <w:spacing w:before="156" w:line="276" w:lineRule="auto"/>
        <w:jc w:val="both"/>
        <w:rPr>
          <w:rFonts w:eastAsia="Times New Roman" w:cstheme="minorHAnsi"/>
          <w:color w:val="000000"/>
          <w:sz w:val="22"/>
          <w:szCs w:val="22"/>
          <w:lang w:eastAsia="fr-FR" w:bidi="ar-SA"/>
        </w:rPr>
      </w:pPr>
      <w:r>
        <w:rPr>
          <w:rFonts w:eastAsia="Times New Roman" w:cstheme="minorHAnsi"/>
          <w:color w:val="000000"/>
          <w:sz w:val="22"/>
          <w:szCs w:val="22"/>
          <w:lang w:eastAsia="fr-FR" w:bidi="ar-SA"/>
        </w:rPr>
        <w:t>Vu la délibération n° D2023-07-09-sco du 04 juillet 2023 portant approbation par le conseil d’administration de la charte des examens de l’université Jean Moulin Lyon 3 ;</w:t>
      </w:r>
    </w:p>
    <w:p w14:paraId="27CE1C05" w14:textId="77777777" w:rsidR="00304814" w:rsidRDefault="000633BC">
      <w:pPr>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t>Vu l’avis du conseil de la faculté des langues du 9 juillet 2025 ;</w:t>
      </w:r>
    </w:p>
    <w:p w14:paraId="2915B639" w14:textId="77777777" w:rsidR="00304814" w:rsidRPr="002B56E1" w:rsidRDefault="000633BC">
      <w:pPr>
        <w:spacing w:before="156" w:line="276" w:lineRule="auto"/>
        <w:jc w:val="both"/>
        <w:rPr>
          <w:rFonts w:ascii="Century Gothic" w:hAnsi="Century Gothic"/>
          <w:color w:val="000000" w:themeColor="text1"/>
        </w:rPr>
      </w:pPr>
      <w:r w:rsidRPr="002B56E1">
        <w:rPr>
          <w:rFonts w:ascii="Century Gothic" w:eastAsia="Calibri" w:hAnsi="Century Gothic" w:cstheme="minorHAnsi"/>
          <w:sz w:val="22"/>
          <w:szCs w:val="22"/>
          <w:lang w:bidi="ar-SA"/>
        </w:rPr>
        <w:t xml:space="preserve">Règlement adopté par La Commission de la Formation et de la Vie Universitaire le </w:t>
      </w:r>
      <w:r w:rsidRPr="002B56E1">
        <w:rPr>
          <w:rFonts w:ascii="Century Gothic" w:eastAsia="Calibri" w:hAnsi="Century Gothic" w:cstheme="minorHAnsi"/>
          <w:color w:val="000000" w:themeColor="text1"/>
          <w:sz w:val="22"/>
          <w:szCs w:val="22"/>
          <w:lang w:bidi="ar-SA"/>
        </w:rPr>
        <w:t>30 septembre 2025.</w:t>
      </w:r>
    </w:p>
    <w:p w14:paraId="40FC6A58" w14:textId="77777777" w:rsidR="00304814" w:rsidRDefault="000633BC">
      <w:pPr>
        <w:spacing w:before="156" w:line="276" w:lineRule="auto"/>
        <w:jc w:val="both"/>
        <w:rPr>
          <w:rFonts w:ascii="Century Gothic" w:hAnsi="Century Gothic"/>
        </w:rPr>
      </w:pPr>
      <w:r>
        <w:rPr>
          <w:rFonts w:ascii="Century Gothic" w:eastAsia="Calibri" w:hAnsi="Century Gothic" w:cstheme="minorHAnsi"/>
          <w:sz w:val="22"/>
          <w:szCs w:val="22"/>
          <w:lang w:bidi="ar-SA"/>
        </w:rPr>
        <w:t>Il est applicable à tous les étudiants de la licence LEA pour l’année universitaire 2025-2026.</w:t>
      </w:r>
    </w:p>
    <w:p w14:paraId="2E88904E" w14:textId="3BCE143E" w:rsidR="00304814" w:rsidRDefault="000633BC">
      <w:pPr>
        <w:spacing w:before="156" w:line="276" w:lineRule="auto"/>
        <w:jc w:val="both"/>
        <w:rPr>
          <w:rFonts w:ascii="Century Gothic" w:eastAsia="Calibri" w:hAnsi="Century Gothic" w:cstheme="minorHAnsi"/>
          <w:i/>
          <w:iCs/>
          <w:color w:val="000000"/>
          <w:sz w:val="22"/>
          <w:szCs w:val="22"/>
          <w:lang w:eastAsia="fr-FR" w:bidi="ar-SA"/>
        </w:rPr>
      </w:pPr>
      <w:r>
        <w:rPr>
          <w:rFonts w:ascii="Century Gothic" w:eastAsia="Calibri" w:hAnsi="Century Gothic" w:cstheme="minorHAnsi"/>
          <w:i/>
          <w:iCs/>
          <w:color w:val="000000"/>
          <w:sz w:val="22"/>
          <w:szCs w:val="22"/>
          <w:lang w:eastAsia="fr-FR" w:bidi="ar-SA"/>
        </w:rPr>
        <w:t>Les modalités de contrôle des connaissances sont susceptibles d’être modifiées en cas de circonstances particulières</w:t>
      </w:r>
      <w:r w:rsidR="004B5776">
        <w:rPr>
          <w:rFonts w:ascii="Century Gothic" w:eastAsia="Calibri" w:hAnsi="Century Gothic" w:cstheme="minorHAnsi"/>
          <w:i/>
          <w:iCs/>
          <w:color w:val="000000"/>
          <w:sz w:val="22"/>
          <w:szCs w:val="22"/>
          <w:lang w:eastAsia="fr-FR" w:bidi="ar-SA"/>
        </w:rPr>
        <w:t>.</w:t>
      </w:r>
    </w:p>
    <w:p w14:paraId="4814CE1D" w14:textId="77777777" w:rsidR="00304814" w:rsidRDefault="00304814">
      <w:pPr>
        <w:spacing w:before="156" w:line="276" w:lineRule="auto"/>
        <w:jc w:val="both"/>
        <w:rPr>
          <w:rFonts w:ascii="Century Gothic" w:hAnsi="Century Gothic"/>
        </w:rPr>
      </w:pPr>
    </w:p>
    <w:p w14:paraId="6133F6D7" w14:textId="77777777" w:rsidR="00304814" w:rsidRDefault="000633BC">
      <w:pPr>
        <w:spacing w:before="156" w:line="276" w:lineRule="auto"/>
        <w:jc w:val="both"/>
        <w:rPr>
          <w:rFonts w:ascii="Century Gothic" w:eastAsia="Calibri" w:hAnsi="Century Gothic" w:cstheme="minorHAnsi"/>
          <w:b/>
          <w:color w:val="000000"/>
          <w:sz w:val="22"/>
          <w:szCs w:val="22"/>
          <w:lang w:bidi="ar-SA"/>
        </w:rPr>
      </w:pPr>
      <w:r>
        <w:rPr>
          <w:rFonts w:ascii="Century Gothic" w:eastAsia="Calibri" w:hAnsi="Century Gothic" w:cstheme="minorHAnsi"/>
          <w:b/>
          <w:color w:val="000000"/>
          <w:sz w:val="22"/>
          <w:szCs w:val="22"/>
          <w:lang w:bidi="ar-SA"/>
        </w:rPr>
        <w:t>Les étudiants qui suivent un enseignement organisé par une autre composante doivent se conformer aux modalités de contrôle des connaissances correspondant.</w:t>
      </w:r>
    </w:p>
    <w:p w14:paraId="21917AD0" w14:textId="77777777" w:rsidR="00304814" w:rsidRDefault="000633BC">
      <w:pPr>
        <w:pStyle w:val="Titre1"/>
        <w:spacing w:before="156" w:line="276" w:lineRule="auto"/>
        <w:jc w:val="both"/>
        <w:rPr>
          <w:color w:val="auto"/>
          <w:sz w:val="18"/>
          <w:szCs w:val="18"/>
        </w:rPr>
      </w:pPr>
      <w:r>
        <w:rPr>
          <w:rFonts w:eastAsia="Times New Roman" w:cstheme="minorHAnsi"/>
          <w:color w:val="000000"/>
          <w:sz w:val="18"/>
          <w:szCs w:val="18"/>
          <w:lang w:eastAsia="fr-FR" w:bidi="ar-SA"/>
        </w:rPr>
        <w:t>TABLE DES MATIERES</w:t>
      </w:r>
    </w:p>
    <w:p w14:paraId="652135D5" w14:textId="77777777" w:rsidR="00304814" w:rsidRDefault="000633BC">
      <w:pPr>
        <w:pStyle w:val="Paragraphedeliste"/>
        <w:numPr>
          <w:ilvl w:val="0"/>
          <w:numId w:val="1"/>
        </w:numPr>
        <w:spacing w:before="156" w:line="276" w:lineRule="auto"/>
        <w:ind w:left="0" w:firstLine="0"/>
        <w:contextualSpacing w:val="0"/>
        <w:jc w:val="both"/>
        <w:rPr>
          <w:rFonts w:ascii="Century Gothic" w:hAnsi="Century Gothic"/>
          <w:b/>
          <w:bCs/>
          <w:sz w:val="18"/>
          <w:szCs w:val="18"/>
        </w:rPr>
      </w:pPr>
      <w:r>
        <w:rPr>
          <w:rFonts w:ascii="Century Gothic" w:eastAsia="Calibri" w:hAnsi="Century Gothic" w:cstheme="minorHAnsi"/>
          <w:b/>
          <w:bCs/>
          <w:color w:val="000000"/>
          <w:sz w:val="18"/>
          <w:szCs w:val="18"/>
          <w:lang w:eastAsia="fr-FR" w:bidi="ar-SA"/>
        </w:rPr>
        <w:lastRenderedPageBreak/>
        <w:t>ORGANISATION DE LA LICENCE LEA</w:t>
      </w:r>
    </w:p>
    <w:p w14:paraId="461B1607" w14:textId="77777777" w:rsidR="00304814" w:rsidRDefault="000633BC">
      <w:pPr>
        <w:pStyle w:val="Paragraphedeliste"/>
        <w:numPr>
          <w:ilvl w:val="0"/>
          <w:numId w:val="2"/>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Présentation de la formation</w:t>
      </w:r>
    </w:p>
    <w:p w14:paraId="1828E8BB" w14:textId="77777777" w:rsidR="00304814" w:rsidRDefault="000633BC">
      <w:pPr>
        <w:pStyle w:val="Paragraphedeliste"/>
        <w:numPr>
          <w:ilvl w:val="0"/>
          <w:numId w:val="3"/>
        </w:numPr>
        <w:spacing w:before="156" w:line="276" w:lineRule="auto"/>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Subdivision des semestres</w:t>
      </w:r>
    </w:p>
    <w:p w14:paraId="74750DC5" w14:textId="77777777" w:rsidR="00304814" w:rsidRDefault="000633BC">
      <w:pPr>
        <w:pStyle w:val="Paragraphedeliste"/>
        <w:numPr>
          <w:ilvl w:val="0"/>
          <w:numId w:val="3"/>
        </w:numPr>
        <w:spacing w:before="156" w:line="276" w:lineRule="auto"/>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Cursus 4 ans</w:t>
      </w:r>
    </w:p>
    <w:p w14:paraId="499E357A" w14:textId="77777777" w:rsidR="00304814" w:rsidRDefault="000633BC">
      <w:pPr>
        <w:pStyle w:val="Paragraphedeliste"/>
        <w:numPr>
          <w:ilvl w:val="0"/>
          <w:numId w:val="3"/>
        </w:numPr>
        <w:spacing w:before="156" w:line="276" w:lineRule="auto"/>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Spécificité Parcours Commerce International (CI)</w:t>
      </w:r>
    </w:p>
    <w:p w14:paraId="55766D59" w14:textId="16785A44" w:rsidR="00304814" w:rsidRPr="00631E5B" w:rsidRDefault="000633BC">
      <w:pPr>
        <w:pStyle w:val="Paragraphedeliste"/>
        <w:numPr>
          <w:ilvl w:val="0"/>
          <w:numId w:val="3"/>
        </w:numPr>
        <w:spacing w:before="156" w:line="276" w:lineRule="auto"/>
        <w:contextualSpacing w:val="0"/>
        <w:jc w:val="both"/>
        <w:rPr>
          <w:rFonts w:ascii="Century Gothic" w:hAnsi="Century Gothic"/>
          <w:sz w:val="18"/>
          <w:szCs w:val="18"/>
        </w:rPr>
      </w:pPr>
      <w:r>
        <w:rPr>
          <w:rFonts w:ascii="Century Gothic" w:eastAsia="Times New Roman" w:hAnsi="Century Gothic" w:cstheme="minorHAnsi"/>
          <w:color w:val="000000"/>
          <w:sz w:val="18"/>
          <w:szCs w:val="18"/>
          <w:lang w:eastAsia="fr-FR" w:bidi="ar-SA"/>
        </w:rPr>
        <w:t>Spécificité parcours Economie et politique européennes (EPE)</w:t>
      </w:r>
    </w:p>
    <w:p w14:paraId="7EEDA034" w14:textId="77777777" w:rsidR="00631E5B" w:rsidRPr="00631E5B" w:rsidRDefault="00631E5B" w:rsidP="00631E5B">
      <w:pPr>
        <w:pStyle w:val="Paragraphedeliste"/>
        <w:numPr>
          <w:ilvl w:val="0"/>
          <w:numId w:val="3"/>
        </w:numPr>
        <w:spacing w:before="156" w:line="276" w:lineRule="auto"/>
        <w:contextualSpacing w:val="0"/>
        <w:jc w:val="both"/>
        <w:rPr>
          <w:rFonts w:ascii="Century Gothic" w:eastAsia="Times New Roman" w:hAnsi="Century Gothic" w:cstheme="minorHAnsi"/>
          <w:color w:val="000000"/>
          <w:sz w:val="18"/>
          <w:szCs w:val="18"/>
          <w:lang w:eastAsia="fr-FR" w:bidi="ar-SA"/>
        </w:rPr>
      </w:pPr>
      <w:r w:rsidRPr="00631E5B">
        <w:rPr>
          <w:rFonts w:ascii="Century Gothic" w:eastAsia="Times New Roman" w:hAnsi="Century Gothic" w:cstheme="minorHAnsi"/>
          <w:color w:val="000000"/>
          <w:sz w:val="18"/>
          <w:szCs w:val="18"/>
          <w:lang w:eastAsia="fr-FR" w:bidi="ar-SA"/>
        </w:rPr>
        <w:t>Dispositions particulières Double Licence</w:t>
      </w:r>
      <w:r w:rsidRPr="00631E5B">
        <w:rPr>
          <w:rFonts w:ascii="Century Gothic" w:eastAsia="Calibri" w:hAnsi="Century Gothic" w:cstheme="minorHAnsi"/>
          <w:b/>
          <w:color w:val="000000"/>
          <w:sz w:val="22"/>
          <w:szCs w:val="22"/>
          <w:lang w:eastAsia="fr-FR" w:bidi="ar-SA"/>
        </w:rPr>
        <w:t xml:space="preserve"> </w:t>
      </w:r>
      <w:r w:rsidRPr="00631E5B">
        <w:rPr>
          <w:rFonts w:ascii="Century Gothic" w:eastAsia="Times New Roman" w:hAnsi="Century Gothic" w:cstheme="minorHAnsi"/>
          <w:color w:val="000000"/>
          <w:sz w:val="18"/>
          <w:szCs w:val="18"/>
          <w:lang w:eastAsia="fr-FR" w:bidi="ar-SA"/>
        </w:rPr>
        <w:t xml:space="preserve">Gestion – LEA </w:t>
      </w:r>
    </w:p>
    <w:p w14:paraId="3B4DDBFB" w14:textId="77777777" w:rsidR="00304814" w:rsidRDefault="000633BC">
      <w:pPr>
        <w:pStyle w:val="Paragraphedeliste"/>
        <w:numPr>
          <w:ilvl w:val="0"/>
          <w:numId w:val="3"/>
        </w:numPr>
        <w:spacing w:before="156" w:line="276" w:lineRule="auto"/>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Maquettes des formations (voir annexe)</w:t>
      </w:r>
    </w:p>
    <w:p w14:paraId="34FCEE32" w14:textId="77777777" w:rsidR="00304814" w:rsidRDefault="000633BC">
      <w:pPr>
        <w:pStyle w:val="Paragraphedeliste"/>
        <w:numPr>
          <w:ilvl w:val="0"/>
          <w:numId w:val="2"/>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Dispositif de réussite et de réorientation</w:t>
      </w:r>
    </w:p>
    <w:p w14:paraId="664ACEFA" w14:textId="77777777" w:rsidR="00304814" w:rsidRDefault="000633BC">
      <w:pPr>
        <w:pStyle w:val="Paragraphedeliste"/>
        <w:numPr>
          <w:ilvl w:val="0"/>
          <w:numId w:val="22"/>
        </w:numPr>
        <w:spacing w:before="156" w:line="276" w:lineRule="auto"/>
        <w:contextualSpacing w:val="0"/>
        <w:jc w:val="both"/>
        <w:rPr>
          <w:rFonts w:ascii="Century Gothic" w:eastAsia="Calibri" w:hAnsi="Century Gothic" w:cstheme="minorHAnsi"/>
          <w:color w:val="000000"/>
          <w:sz w:val="18"/>
          <w:szCs w:val="18"/>
          <w:lang w:eastAsia="fr-FR" w:bidi="ar-SA"/>
        </w:rPr>
      </w:pPr>
      <w:r>
        <w:rPr>
          <w:rFonts w:ascii="Century Gothic" w:eastAsia="Calibri" w:hAnsi="Century Gothic" w:cstheme="minorHAnsi"/>
          <w:color w:val="000000"/>
          <w:sz w:val="18"/>
          <w:szCs w:val="18"/>
          <w:lang w:eastAsia="fr-FR" w:bidi="ar-SA"/>
        </w:rPr>
        <w:t>Dispositifs de réussite</w:t>
      </w:r>
    </w:p>
    <w:p w14:paraId="5EF32C5A" w14:textId="77777777" w:rsidR="00304814" w:rsidRDefault="000633BC">
      <w:pPr>
        <w:pStyle w:val="Paragraphedeliste"/>
        <w:numPr>
          <w:ilvl w:val="0"/>
          <w:numId w:val="22"/>
        </w:numPr>
        <w:spacing w:before="156" w:line="276" w:lineRule="auto"/>
        <w:contextualSpacing w:val="0"/>
        <w:jc w:val="both"/>
        <w:rPr>
          <w:rFonts w:ascii="Century Gothic" w:eastAsia="Calibri" w:hAnsi="Century Gothic" w:cstheme="minorHAnsi"/>
          <w:color w:val="000000"/>
          <w:sz w:val="18"/>
          <w:szCs w:val="18"/>
          <w:lang w:eastAsia="fr-FR" w:bidi="ar-SA"/>
        </w:rPr>
      </w:pPr>
      <w:r>
        <w:rPr>
          <w:rFonts w:ascii="Century Gothic" w:eastAsia="Calibri" w:hAnsi="Century Gothic" w:cstheme="minorHAnsi"/>
          <w:color w:val="000000"/>
          <w:sz w:val="18"/>
          <w:szCs w:val="18"/>
          <w:lang w:eastAsia="fr-FR" w:bidi="ar-SA"/>
        </w:rPr>
        <w:t>Régime particulier de changement de mineur</w:t>
      </w:r>
    </w:p>
    <w:p w14:paraId="31F9693D" w14:textId="77777777" w:rsidR="00304814" w:rsidRDefault="000633BC">
      <w:pPr>
        <w:pStyle w:val="Paragraphedeliste"/>
        <w:numPr>
          <w:ilvl w:val="0"/>
          <w:numId w:val="22"/>
        </w:numPr>
        <w:spacing w:before="156" w:line="276" w:lineRule="auto"/>
        <w:contextualSpacing w:val="0"/>
        <w:jc w:val="both"/>
        <w:rPr>
          <w:rFonts w:ascii="Century Gothic" w:eastAsia="Calibri" w:hAnsi="Century Gothic" w:cstheme="minorHAnsi"/>
          <w:color w:val="000000"/>
          <w:sz w:val="18"/>
          <w:szCs w:val="18"/>
          <w:lang w:eastAsia="fr-FR" w:bidi="ar-SA"/>
        </w:rPr>
      </w:pPr>
      <w:r>
        <w:rPr>
          <w:rFonts w:ascii="Century Gothic" w:eastAsia="Calibri" w:hAnsi="Century Gothic" w:cstheme="minorHAnsi"/>
          <w:color w:val="000000"/>
          <w:sz w:val="18"/>
          <w:szCs w:val="18"/>
          <w:lang w:eastAsia="fr-FR" w:bidi="ar-SA"/>
        </w:rPr>
        <w:t>Réorientation en fin de 1</w:t>
      </w:r>
      <w:r>
        <w:rPr>
          <w:rFonts w:ascii="Century Gothic" w:eastAsia="Calibri" w:hAnsi="Century Gothic" w:cstheme="minorHAnsi"/>
          <w:color w:val="000000"/>
          <w:sz w:val="18"/>
          <w:szCs w:val="18"/>
          <w:vertAlign w:val="superscript"/>
          <w:lang w:eastAsia="fr-FR" w:bidi="ar-SA"/>
        </w:rPr>
        <w:t>ère année</w:t>
      </w:r>
      <w:r>
        <w:rPr>
          <w:rFonts w:ascii="Century Gothic" w:eastAsia="Calibri" w:hAnsi="Century Gothic" w:cstheme="minorHAnsi"/>
          <w:color w:val="000000"/>
          <w:sz w:val="18"/>
          <w:szCs w:val="18"/>
          <w:lang w:eastAsia="fr-FR" w:bidi="ar-SA"/>
        </w:rPr>
        <w:t xml:space="preserve"> de Licence</w:t>
      </w:r>
    </w:p>
    <w:p w14:paraId="48471C41" w14:textId="77777777" w:rsidR="00304814" w:rsidRDefault="000633BC">
      <w:pPr>
        <w:pStyle w:val="Paragraphedeliste"/>
        <w:numPr>
          <w:ilvl w:val="0"/>
          <w:numId w:val="22"/>
        </w:numPr>
        <w:spacing w:before="156" w:line="276" w:lineRule="auto"/>
        <w:contextualSpacing w:val="0"/>
        <w:jc w:val="both"/>
        <w:rPr>
          <w:rFonts w:ascii="Century Gothic" w:eastAsia="Calibri" w:hAnsi="Century Gothic" w:cstheme="minorHAnsi"/>
          <w:color w:val="000000"/>
          <w:sz w:val="18"/>
          <w:szCs w:val="18"/>
          <w:lang w:eastAsia="fr-FR" w:bidi="ar-SA"/>
        </w:rPr>
      </w:pPr>
      <w:r>
        <w:rPr>
          <w:rFonts w:ascii="Century Gothic" w:eastAsia="Calibri" w:hAnsi="Century Gothic" w:cstheme="minorHAnsi"/>
          <w:color w:val="000000"/>
          <w:sz w:val="18"/>
          <w:szCs w:val="18"/>
          <w:lang w:eastAsia="fr-FR" w:bidi="ar-SA"/>
        </w:rPr>
        <w:t>Autres cas de réorientation</w:t>
      </w:r>
    </w:p>
    <w:p w14:paraId="72C4CDB6" w14:textId="77777777" w:rsidR="00304814" w:rsidRDefault="000633BC">
      <w:pPr>
        <w:pStyle w:val="Paragraphedeliste"/>
        <w:numPr>
          <w:ilvl w:val="0"/>
          <w:numId w:val="2"/>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Inscription</w:t>
      </w:r>
    </w:p>
    <w:p w14:paraId="3A0E23BD" w14:textId="1FA33195" w:rsidR="00631E5B" w:rsidRPr="00631E5B" w:rsidRDefault="000633BC" w:rsidP="00631E5B">
      <w:pPr>
        <w:pStyle w:val="Paragraphedeliste"/>
        <w:numPr>
          <w:ilvl w:val="0"/>
          <w:numId w:val="2"/>
        </w:numPr>
        <w:spacing w:before="156" w:line="276" w:lineRule="auto"/>
        <w:ind w:left="0" w:firstLine="0"/>
        <w:contextualSpacing w:val="0"/>
        <w:jc w:val="both"/>
        <w:rPr>
          <w:rFonts w:ascii="Century Gothic" w:hAnsi="Century Gothic"/>
          <w:sz w:val="18"/>
          <w:szCs w:val="18"/>
        </w:rPr>
      </w:pPr>
      <w:r w:rsidRPr="00631E5B">
        <w:rPr>
          <w:rFonts w:ascii="Century Gothic" w:eastAsia="Calibri" w:hAnsi="Century Gothic" w:cstheme="minorHAnsi"/>
          <w:color w:val="000000"/>
          <w:sz w:val="18"/>
          <w:szCs w:val="18"/>
          <w:lang w:eastAsia="fr-FR" w:bidi="ar-SA"/>
        </w:rPr>
        <w:t>Abandon de la scolarité</w:t>
      </w:r>
    </w:p>
    <w:p w14:paraId="4CF40A6F" w14:textId="77777777" w:rsidR="00304814" w:rsidRDefault="000633BC">
      <w:pPr>
        <w:pStyle w:val="Paragraphedeliste"/>
        <w:numPr>
          <w:ilvl w:val="0"/>
          <w:numId w:val="2"/>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Règles de progression</w:t>
      </w:r>
    </w:p>
    <w:p w14:paraId="49412030" w14:textId="77777777" w:rsidR="00304814" w:rsidRDefault="000633BC">
      <w:pPr>
        <w:pStyle w:val="Paragraphedeliste"/>
        <w:numPr>
          <w:ilvl w:val="0"/>
          <w:numId w:val="1"/>
        </w:numPr>
        <w:spacing w:before="156" w:line="276" w:lineRule="auto"/>
        <w:ind w:left="0" w:firstLine="0"/>
        <w:contextualSpacing w:val="0"/>
        <w:jc w:val="both"/>
        <w:rPr>
          <w:rFonts w:ascii="Century Gothic" w:hAnsi="Century Gothic"/>
          <w:b/>
          <w:bCs/>
          <w:sz w:val="18"/>
          <w:szCs w:val="18"/>
        </w:rPr>
      </w:pPr>
      <w:r>
        <w:rPr>
          <w:rFonts w:ascii="Century Gothic" w:eastAsia="Calibri" w:hAnsi="Century Gothic" w:cstheme="minorHAnsi"/>
          <w:b/>
          <w:bCs/>
          <w:color w:val="000000"/>
          <w:sz w:val="18"/>
          <w:szCs w:val="18"/>
          <w:lang w:eastAsia="fr-FR" w:bidi="ar-SA"/>
        </w:rPr>
        <w:t>DEROULEMENT DE LA FORMATION</w:t>
      </w:r>
    </w:p>
    <w:p w14:paraId="627CB670" w14:textId="77777777" w:rsidR="00304814" w:rsidRDefault="000633BC">
      <w:pPr>
        <w:pStyle w:val="Paragraphedeliste"/>
        <w:numPr>
          <w:ilvl w:val="0"/>
          <w:numId w:val="4"/>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Assiduité</w:t>
      </w:r>
    </w:p>
    <w:p w14:paraId="656FE131" w14:textId="77777777" w:rsidR="00304814" w:rsidRDefault="000633BC">
      <w:pPr>
        <w:pStyle w:val="Paragraphedeliste"/>
        <w:numPr>
          <w:ilvl w:val="0"/>
          <w:numId w:val="4"/>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Régime d’études </w:t>
      </w:r>
    </w:p>
    <w:p w14:paraId="101F1455" w14:textId="77777777" w:rsidR="00304814" w:rsidRDefault="000633BC">
      <w:pPr>
        <w:pStyle w:val="Paragraphedeliste"/>
        <w:numPr>
          <w:ilvl w:val="0"/>
          <w:numId w:val="4"/>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Constitution des groupes de TD</w:t>
      </w:r>
    </w:p>
    <w:p w14:paraId="135BBA34" w14:textId="77777777" w:rsidR="00304814" w:rsidRDefault="000633BC">
      <w:pPr>
        <w:pStyle w:val="Paragraphedeliste"/>
        <w:numPr>
          <w:ilvl w:val="0"/>
          <w:numId w:val="1"/>
        </w:numPr>
        <w:spacing w:before="156" w:line="276" w:lineRule="auto"/>
        <w:ind w:left="0" w:firstLine="0"/>
        <w:contextualSpacing w:val="0"/>
        <w:jc w:val="both"/>
        <w:rPr>
          <w:rFonts w:ascii="Century Gothic" w:hAnsi="Century Gothic"/>
          <w:b/>
          <w:bCs/>
          <w:sz w:val="18"/>
          <w:szCs w:val="18"/>
        </w:rPr>
      </w:pPr>
      <w:r>
        <w:rPr>
          <w:rFonts w:ascii="Century Gothic" w:eastAsia="Calibri" w:hAnsi="Century Gothic" w:cstheme="minorHAnsi"/>
          <w:b/>
          <w:bCs/>
          <w:color w:val="000000"/>
          <w:sz w:val="18"/>
          <w:szCs w:val="18"/>
          <w:lang w:eastAsia="fr-FR" w:bidi="ar-SA"/>
        </w:rPr>
        <w:t>CONTROLE DES CONNAISSANCES</w:t>
      </w:r>
    </w:p>
    <w:p w14:paraId="41030EA5" w14:textId="77777777" w:rsidR="00304814" w:rsidRDefault="000633BC">
      <w:pPr>
        <w:pStyle w:val="Paragraphedeliste"/>
        <w:numPr>
          <w:ilvl w:val="0"/>
          <w:numId w:val="5"/>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Le contrôle continu</w:t>
      </w:r>
    </w:p>
    <w:p w14:paraId="2D559ACC" w14:textId="77777777" w:rsidR="00304814" w:rsidRDefault="000633BC">
      <w:pPr>
        <w:pStyle w:val="Paragraphedeliste"/>
        <w:numPr>
          <w:ilvl w:val="0"/>
          <w:numId w:val="5"/>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Les examens terminaux</w:t>
      </w:r>
    </w:p>
    <w:p w14:paraId="48204931" w14:textId="77777777" w:rsidR="00304814" w:rsidRDefault="000633BC">
      <w:pPr>
        <w:pStyle w:val="Paragraphedeliste"/>
        <w:numPr>
          <w:ilvl w:val="0"/>
          <w:numId w:val="5"/>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Epreuves de seconde chance</w:t>
      </w:r>
    </w:p>
    <w:p w14:paraId="19A4C8C6" w14:textId="77777777" w:rsidR="00304814" w:rsidRDefault="000633BC">
      <w:pPr>
        <w:pStyle w:val="Paragraphedeliste"/>
        <w:numPr>
          <w:ilvl w:val="0"/>
          <w:numId w:val="5"/>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Aménagement des examens pour les étudiants en situation d’handicap</w:t>
      </w:r>
    </w:p>
    <w:p w14:paraId="61B723F4" w14:textId="77777777" w:rsidR="00304814" w:rsidRDefault="000633BC">
      <w:pPr>
        <w:pStyle w:val="Paragraphedeliste"/>
        <w:numPr>
          <w:ilvl w:val="0"/>
          <w:numId w:val="5"/>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Régime transitoire pour les redoublants</w:t>
      </w:r>
    </w:p>
    <w:p w14:paraId="49EB212E" w14:textId="77777777" w:rsidR="00304814" w:rsidRDefault="000633BC">
      <w:pPr>
        <w:pStyle w:val="Paragraphedeliste"/>
        <w:numPr>
          <w:ilvl w:val="0"/>
          <w:numId w:val="5"/>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Retard aux examens</w:t>
      </w:r>
    </w:p>
    <w:p w14:paraId="5C64BDDF" w14:textId="77777777" w:rsidR="00304814" w:rsidRDefault="000633BC">
      <w:pPr>
        <w:pStyle w:val="Paragraphedeliste"/>
        <w:numPr>
          <w:ilvl w:val="0"/>
          <w:numId w:val="5"/>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Absences et organisation des épreuve de remplacement</w:t>
      </w:r>
    </w:p>
    <w:p w14:paraId="1FD4FDE3" w14:textId="77777777" w:rsidR="00304814" w:rsidRDefault="000633BC">
      <w:pPr>
        <w:pStyle w:val="Paragraphedeliste"/>
        <w:numPr>
          <w:ilvl w:val="0"/>
          <w:numId w:val="5"/>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Discipline</w:t>
      </w:r>
    </w:p>
    <w:p w14:paraId="491CBA31" w14:textId="77777777" w:rsidR="00304814" w:rsidRDefault="000633BC">
      <w:pPr>
        <w:pStyle w:val="Paragraphedeliste"/>
        <w:numPr>
          <w:ilvl w:val="0"/>
          <w:numId w:val="5"/>
        </w:numPr>
        <w:spacing w:before="156" w:line="276" w:lineRule="auto"/>
        <w:ind w:left="0" w:firstLine="0"/>
        <w:contextualSpacing w:val="0"/>
        <w:jc w:val="both"/>
        <w:rPr>
          <w:rFonts w:ascii="Century Gothic" w:eastAsia="Calibri" w:hAnsi="Century Gothic"/>
          <w:sz w:val="18"/>
          <w:szCs w:val="18"/>
          <w:lang w:eastAsia="fr-FR" w:bidi="ar-SA"/>
        </w:rPr>
      </w:pPr>
      <w:r>
        <w:rPr>
          <w:rFonts w:ascii="Century Gothic" w:eastAsia="Calibri" w:hAnsi="Century Gothic" w:cstheme="minorHAnsi"/>
          <w:color w:val="000000"/>
          <w:sz w:val="18"/>
          <w:szCs w:val="18"/>
          <w:lang w:eastAsia="fr-FR" w:bidi="ar-SA"/>
        </w:rPr>
        <w:t>Consultation des copies</w:t>
      </w:r>
    </w:p>
    <w:p w14:paraId="6E1FC3A3" w14:textId="77777777" w:rsidR="00304814" w:rsidRDefault="000633BC">
      <w:pPr>
        <w:pStyle w:val="Paragraphedeliste"/>
        <w:spacing w:before="156" w:line="276" w:lineRule="auto"/>
        <w:ind w:left="0"/>
        <w:contextualSpacing w:val="0"/>
        <w:jc w:val="both"/>
        <w:rPr>
          <w:rFonts w:ascii="Century Gothic" w:eastAsia="Calibri" w:hAnsi="Century Gothic"/>
          <w:b/>
          <w:bCs/>
          <w:sz w:val="18"/>
          <w:szCs w:val="18"/>
          <w:lang w:eastAsia="fr-FR" w:bidi="ar-SA"/>
        </w:rPr>
      </w:pPr>
      <w:r>
        <w:rPr>
          <w:rFonts w:ascii="Century Gothic" w:eastAsia="Calibri" w:hAnsi="Century Gothic" w:cstheme="minorHAnsi"/>
          <w:b/>
          <w:bCs/>
          <w:color w:val="000000"/>
          <w:sz w:val="18"/>
          <w:szCs w:val="18"/>
          <w:lang w:eastAsia="fr-FR" w:bidi="ar-SA"/>
        </w:rPr>
        <w:t>IV.           OBTENTION DU DIPLOME</w:t>
      </w:r>
    </w:p>
    <w:p w14:paraId="53A13C40" w14:textId="77777777" w:rsidR="00304814" w:rsidRDefault="000633BC">
      <w:pPr>
        <w:pStyle w:val="Paragraphedeliste"/>
        <w:numPr>
          <w:ilvl w:val="0"/>
          <w:numId w:val="6"/>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Capitalisation et compensation</w:t>
      </w:r>
    </w:p>
    <w:p w14:paraId="6B913CC9" w14:textId="77777777" w:rsidR="00304814" w:rsidRDefault="000633BC">
      <w:pPr>
        <w:pStyle w:val="Paragraphedeliste"/>
        <w:numPr>
          <w:ilvl w:val="0"/>
          <w:numId w:val="6"/>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lastRenderedPageBreak/>
        <w:t>Règle de progression</w:t>
      </w:r>
    </w:p>
    <w:p w14:paraId="3DD5ED8C" w14:textId="77777777" w:rsidR="00304814" w:rsidRDefault="000633BC">
      <w:pPr>
        <w:pStyle w:val="Paragraphedeliste"/>
        <w:numPr>
          <w:ilvl w:val="0"/>
          <w:numId w:val="6"/>
        </w:numPr>
        <w:spacing w:before="156" w:line="276" w:lineRule="auto"/>
        <w:ind w:left="0" w:firstLine="0"/>
        <w:contextualSpacing w:val="0"/>
        <w:jc w:val="both"/>
        <w:rPr>
          <w:rFonts w:ascii="Century Gothic" w:hAnsi="Century Gothic"/>
          <w:sz w:val="18"/>
          <w:szCs w:val="18"/>
        </w:rPr>
      </w:pPr>
      <w:r>
        <w:rPr>
          <w:rFonts w:ascii="Century Gothic" w:eastAsia="Calibri" w:hAnsi="Century Gothic" w:cstheme="minorHAnsi"/>
          <w:color w:val="000000"/>
          <w:sz w:val="18"/>
          <w:szCs w:val="18"/>
          <w:lang w:eastAsia="fr-FR" w:bidi="ar-SA"/>
        </w:rPr>
        <w:t>Délibérations du jury</w:t>
      </w:r>
    </w:p>
    <w:p w14:paraId="5306D785" w14:textId="77777777" w:rsidR="00304814" w:rsidRDefault="000633BC">
      <w:pPr>
        <w:pStyle w:val="Paragraphedeliste"/>
        <w:spacing w:before="156" w:line="276" w:lineRule="auto"/>
        <w:ind w:left="0"/>
        <w:contextualSpacing w:val="0"/>
        <w:jc w:val="both"/>
        <w:rPr>
          <w:rFonts w:ascii="Century Gothic" w:hAnsi="Century Gothic"/>
          <w:sz w:val="18"/>
          <w:szCs w:val="18"/>
        </w:rPr>
      </w:pPr>
      <w:r>
        <w:rPr>
          <w:rFonts w:ascii="Century Gothic" w:eastAsia="Calibri" w:hAnsi="Century Gothic" w:cstheme="minorHAnsi"/>
          <w:b/>
          <w:bCs/>
          <w:color w:val="000000"/>
          <w:sz w:val="18"/>
          <w:szCs w:val="18"/>
          <w:lang w:eastAsia="fr-FR" w:bidi="ar-SA"/>
        </w:rPr>
        <w:t xml:space="preserve">V.             DISPOSITIONS DIVERSES </w:t>
      </w:r>
    </w:p>
    <w:p w14:paraId="4886E3FB" w14:textId="77777777" w:rsidR="00304814" w:rsidRDefault="000633BC">
      <w:pPr>
        <w:spacing w:before="156" w:line="276" w:lineRule="auto"/>
        <w:jc w:val="both"/>
        <w:rPr>
          <w:rFonts w:ascii="Century Gothic" w:eastAsia="Calibri" w:hAnsi="Century Gothic" w:cstheme="minorHAnsi"/>
          <w:color w:val="000000"/>
          <w:sz w:val="18"/>
          <w:szCs w:val="18"/>
          <w:lang w:eastAsia="fr-FR" w:bidi="ar-SA"/>
        </w:rPr>
      </w:pPr>
      <w:r>
        <w:rPr>
          <w:rFonts w:ascii="Century Gothic" w:eastAsia="Calibri" w:hAnsi="Century Gothic" w:cstheme="minorHAnsi"/>
          <w:color w:val="000000"/>
          <w:sz w:val="18"/>
          <w:szCs w:val="18"/>
          <w:lang w:eastAsia="fr-FR" w:bidi="ar-SA"/>
        </w:rPr>
        <w:t xml:space="preserve">                 ANNEXES</w:t>
      </w:r>
    </w:p>
    <w:p w14:paraId="79E4E5C7"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5D4FFC13"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60865D9C"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1DC21B6A"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3AA28102"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073BF8DB"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22C695D8"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376F405C"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4204C870"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4C8A414F"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6EF85E9F"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4952DB51"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0AB49F73"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4E55BD44"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4A4AC646"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31A54CD6"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2D818CAE"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5DFEA801"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0D80226E"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07B5974D"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5C7A276F"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5547AB95"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398E604D"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26113667"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7D60CB61"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056750C3"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6791FA84" w14:textId="77777777" w:rsidR="00304814" w:rsidRDefault="00304814">
      <w:pPr>
        <w:spacing w:before="156" w:line="276" w:lineRule="auto"/>
        <w:jc w:val="both"/>
        <w:rPr>
          <w:rFonts w:ascii="Century Gothic" w:eastAsia="Calibri" w:hAnsi="Century Gothic" w:cstheme="minorHAnsi"/>
          <w:color w:val="000000"/>
          <w:sz w:val="18"/>
          <w:szCs w:val="18"/>
          <w:lang w:eastAsia="fr-FR" w:bidi="ar-SA"/>
        </w:rPr>
      </w:pPr>
    </w:p>
    <w:p w14:paraId="66448433" w14:textId="77777777" w:rsidR="00304814" w:rsidRDefault="000633BC">
      <w:pPr>
        <w:pStyle w:val="Titre1"/>
        <w:spacing w:before="156" w:line="276" w:lineRule="auto"/>
        <w:jc w:val="both"/>
        <w:rPr>
          <w:color w:val="auto"/>
        </w:rPr>
      </w:pPr>
      <w:r>
        <w:rPr>
          <w:rFonts w:eastAsia="Times New Roman" w:cstheme="minorHAnsi"/>
          <w:b/>
          <w:caps/>
          <w:color w:val="000000"/>
          <w:sz w:val="22"/>
          <w:szCs w:val="22"/>
          <w:u w:val="single"/>
          <w:lang w:eastAsia="fr-FR" w:bidi="ar-SA"/>
        </w:rPr>
        <w:lastRenderedPageBreak/>
        <w:t>I - ORGANISATION DU CURSUS</w:t>
      </w:r>
    </w:p>
    <w:p w14:paraId="6D908818" w14:textId="77777777" w:rsidR="00304814" w:rsidRDefault="000633BC">
      <w:pPr>
        <w:numPr>
          <w:ilvl w:val="0"/>
          <w:numId w:val="7"/>
        </w:numPr>
        <w:spacing w:before="156" w:line="276" w:lineRule="auto"/>
        <w:ind w:left="0" w:firstLine="0"/>
        <w:jc w:val="both"/>
        <w:rPr>
          <w:rFonts w:ascii="Century Gothic" w:hAnsi="Century Gothic"/>
        </w:rPr>
      </w:pPr>
      <w:r>
        <w:rPr>
          <w:rFonts w:ascii="Century Gothic" w:eastAsia="Calibri" w:hAnsi="Century Gothic" w:cstheme="minorHAnsi"/>
          <w:b/>
          <w:color w:val="000000"/>
          <w:sz w:val="22"/>
          <w:szCs w:val="22"/>
          <w:lang w:eastAsia="fr-FR" w:bidi="ar-SA"/>
        </w:rPr>
        <w:t>Présentation de la licence</w:t>
      </w:r>
    </w:p>
    <w:p w14:paraId="5CC1EC50"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La licence s’organise selon le système des crédits européens (ECTS). Le diplôme de licence correspond à 180 crédits.</w:t>
      </w:r>
    </w:p>
    <w:p w14:paraId="1693B2F9" w14:textId="77777777" w:rsidR="00304814" w:rsidRDefault="000633BC">
      <w:pPr>
        <w:pStyle w:val="Paragraphedeliste"/>
        <w:numPr>
          <w:ilvl w:val="0"/>
          <w:numId w:val="8"/>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u w:val="single"/>
          <w:lang w:eastAsia="fr-FR" w:bidi="ar-SA"/>
        </w:rPr>
        <w:t>Subdivision des semestres</w:t>
      </w:r>
    </w:p>
    <w:p w14:paraId="3B45C23D"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La Licence est une formation en trois ans qui se déroule sur 6 semestres. Cette organisation répond à une logique de progression des apprentissages et de spécialisation croissante : 2 semestres par année.</w:t>
      </w:r>
    </w:p>
    <w:p w14:paraId="7E397872"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Chaque année de licence correspond à 60 ECTS : chaque semestre comprend 30 crédits.</w:t>
      </w:r>
    </w:p>
    <w:p w14:paraId="7DCEA8E4"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Les semestres sont organisés entre Majeure (20 crédits) et Mineure (10 crédits) et sont répartis de la façon suivante :</w:t>
      </w:r>
    </w:p>
    <w:p w14:paraId="7C324037" w14:textId="77777777" w:rsidR="00304814" w:rsidRDefault="000633BC">
      <w:pPr>
        <w:pStyle w:val="Titre1"/>
        <w:spacing w:before="156" w:line="276" w:lineRule="auto"/>
        <w:jc w:val="both"/>
        <w:rPr>
          <w:color w:val="auto"/>
        </w:rPr>
      </w:pPr>
      <w:r>
        <w:rPr>
          <w:rFonts w:eastAsia="Times New Roman" w:cstheme="minorHAnsi"/>
          <w:color w:val="000000"/>
          <w:sz w:val="22"/>
          <w:szCs w:val="22"/>
          <w:u w:val="single"/>
          <w:lang w:eastAsia="fr-FR" w:bidi="ar-SA"/>
        </w:rPr>
        <w:t>Pour la Majeure</w:t>
      </w:r>
      <w:r>
        <w:rPr>
          <w:rFonts w:eastAsia="Times New Roman" w:cstheme="minorHAnsi"/>
          <w:color w:val="000000"/>
          <w:sz w:val="22"/>
          <w:szCs w:val="22"/>
          <w:lang w:eastAsia="fr-FR" w:bidi="ar-SA"/>
        </w:rPr>
        <w:t xml:space="preserve"> : </w:t>
      </w:r>
    </w:p>
    <w:p w14:paraId="2ED674E5"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Deux unités d’Enseignement Fondamental : un bloc Anglais et un bloc langue B, correspondant aux matières qui définissent la spécialité du diplôme (2 x 8 ECTS) ;</w:t>
      </w:r>
    </w:p>
    <w:p w14:paraId="744F32DB"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Une unité d’enseignement transversal « Matières transversales » (4 ECTS)</w:t>
      </w:r>
    </w:p>
    <w:p w14:paraId="1D5EE835" w14:textId="77777777" w:rsidR="00304814" w:rsidRDefault="000633BC">
      <w:pPr>
        <w:pStyle w:val="Titre1"/>
        <w:spacing w:before="156" w:line="276" w:lineRule="auto"/>
        <w:jc w:val="both"/>
        <w:rPr>
          <w:color w:val="auto"/>
        </w:rPr>
      </w:pPr>
      <w:r>
        <w:rPr>
          <w:rFonts w:eastAsia="Times New Roman" w:cstheme="minorHAnsi"/>
          <w:color w:val="000000"/>
          <w:sz w:val="22"/>
          <w:szCs w:val="22"/>
          <w:u w:val="single"/>
          <w:lang w:eastAsia="fr-FR" w:bidi="ar-SA"/>
        </w:rPr>
        <w:t>Pour la Mineure</w:t>
      </w:r>
      <w:r>
        <w:rPr>
          <w:rFonts w:eastAsia="Times New Roman" w:cstheme="minorHAnsi"/>
          <w:color w:val="000000"/>
          <w:sz w:val="22"/>
          <w:szCs w:val="22"/>
          <w:lang w:eastAsia="fr-FR" w:bidi="ar-SA"/>
        </w:rPr>
        <w:t> :</w:t>
      </w:r>
    </w:p>
    <w:p w14:paraId="5CFEFB6A"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Un bloc d’enseignements doté de 10 ECTS par semestre.</w:t>
      </w:r>
    </w:p>
    <w:p w14:paraId="3CFFFA42"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Le passage de l’année N à l’année N+1 est conditionné à l’obtention des 40 ECTS en Majeure (20 ECTS par semestre) et des 20 ECTS en Mineure (10 ECTS par semestre). Pour toute demande de dérogation (statut AJAC), se reporter à l’alinéa IV-Obtention du diplôme.</w:t>
      </w:r>
    </w:p>
    <w:p w14:paraId="43308D45" w14:textId="77777777" w:rsidR="00304814" w:rsidRDefault="000633BC">
      <w:pPr>
        <w:pStyle w:val="Paragraphedeliste"/>
        <w:numPr>
          <w:ilvl w:val="0"/>
          <w:numId w:val="8"/>
        </w:numPr>
        <w:spacing w:before="156" w:line="276" w:lineRule="auto"/>
        <w:ind w:left="0" w:firstLine="0"/>
        <w:contextualSpacing w:val="0"/>
        <w:jc w:val="both"/>
        <w:rPr>
          <w:rFonts w:ascii="Century Gothic" w:hAnsi="Century Gothic"/>
        </w:rPr>
      </w:pPr>
      <w:r>
        <w:rPr>
          <w:rFonts w:ascii="Century Gothic" w:eastAsia="Times New Roman" w:hAnsi="Century Gothic" w:cstheme="minorHAnsi"/>
          <w:color w:val="000000"/>
          <w:sz w:val="22"/>
          <w:szCs w:val="22"/>
          <w:u w:val="single"/>
          <w:lang w:eastAsia="fr-FR" w:bidi="ar-SA"/>
        </w:rPr>
        <w:t>Cursus 4 ans (grands débutants)</w:t>
      </w:r>
    </w:p>
    <w:p w14:paraId="38A85AFF"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Pour certains parcours de licence LEA notamment en Arabe, Chinois, Russe, Portugais un cursus en 4 ans est proposé aux étudiants grands débutants dans ces langues.</w:t>
      </w:r>
    </w:p>
    <w:p w14:paraId="2DB7B4B1"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Ce cursus de Licence en 4 ans s'adresse aux vrais débutants dans ces langues qui effectuent leur première année de licence sur deux années universitaires. Pendant la première année (année dite « préparatoire ») les étudiants bénéficient de cours spécifiques d'initiation à ces langues leur assurant des connaissances solides et nécessaires pour réussir dans les années supérieures et d'une partie des crédits de la première année dont les enseignements ne requièrent pas la connaissance de la langue nouvellement étudiée : ils valident ainsi une partie des crédits de la L1.</w:t>
      </w:r>
    </w:p>
    <w:p w14:paraId="7B9BABC9" w14:textId="77777777" w:rsidR="00304814" w:rsidRDefault="000633BC">
      <w:pPr>
        <w:spacing w:before="156" w:line="276" w:lineRule="auto"/>
        <w:jc w:val="both"/>
        <w:rPr>
          <w:rFonts w:ascii="Century Gothic" w:eastAsia="Calibri" w:hAnsi="Century Gothic" w:cstheme="minorHAnsi"/>
          <w:color w:val="FF0000"/>
          <w:sz w:val="22"/>
          <w:szCs w:val="22"/>
          <w:lang w:bidi="ar-SA"/>
        </w:rPr>
      </w:pPr>
      <w:r>
        <w:rPr>
          <w:rFonts w:ascii="Century Gothic" w:eastAsia="Calibri" w:hAnsi="Century Gothic" w:cstheme="minorHAnsi"/>
          <w:b/>
          <w:color w:val="000000"/>
          <w:sz w:val="22"/>
          <w:szCs w:val="22"/>
          <w:lang w:bidi="ar-SA"/>
        </w:rPr>
        <w:t xml:space="preserve">Le passage de l’année préparatoire à la L1 est conditionné à l’obtention de la moyenne dans les enseignements « connaissance de la langue ». </w:t>
      </w:r>
    </w:p>
    <w:p w14:paraId="1E1A34C9" w14:textId="77777777" w:rsidR="00304814" w:rsidRDefault="000633BC">
      <w:pPr>
        <w:pStyle w:val="Paragraphedeliste"/>
        <w:numPr>
          <w:ilvl w:val="0"/>
          <w:numId w:val="8"/>
        </w:numPr>
        <w:spacing w:before="156" w:line="276" w:lineRule="auto"/>
        <w:ind w:left="0" w:firstLine="0"/>
        <w:contextualSpacing w:val="0"/>
        <w:jc w:val="both"/>
        <w:rPr>
          <w:rFonts w:ascii="Century Gothic" w:hAnsi="Century Gothic"/>
        </w:rPr>
      </w:pPr>
      <w:r>
        <w:rPr>
          <w:rFonts w:ascii="Century Gothic" w:eastAsia="Times New Roman" w:hAnsi="Century Gothic" w:cstheme="minorHAnsi"/>
          <w:color w:val="000000"/>
          <w:sz w:val="22"/>
          <w:szCs w:val="22"/>
          <w:u w:val="single"/>
          <w:lang w:eastAsia="fr-FR" w:bidi="ar-SA"/>
        </w:rPr>
        <w:lastRenderedPageBreak/>
        <w:t>Spécificité Parcours Commerce International (CI)</w:t>
      </w:r>
    </w:p>
    <w:p w14:paraId="6E67B2BF" w14:textId="77777777" w:rsidR="00304814" w:rsidRDefault="000633BC">
      <w:pPr>
        <w:tabs>
          <w:tab w:val="center" w:pos="4536"/>
          <w:tab w:val="right" w:pos="9180"/>
        </w:tabs>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Le parcours « Commerce International » débute au niveau de la licence 2</w:t>
      </w:r>
      <w:r>
        <w:rPr>
          <w:rFonts w:ascii="Century Gothic" w:eastAsia="Times New Roman" w:hAnsi="Century Gothic" w:cstheme="minorHAnsi"/>
          <w:color w:val="000000"/>
          <w:sz w:val="22"/>
          <w:szCs w:val="22"/>
          <w:vertAlign w:val="superscript"/>
          <w:lang w:eastAsia="fr-FR" w:bidi="ar-SA"/>
        </w:rPr>
        <w:t>e</w:t>
      </w:r>
      <w:r>
        <w:rPr>
          <w:rFonts w:ascii="Century Gothic" w:eastAsia="Times New Roman" w:hAnsi="Century Gothic" w:cstheme="minorHAnsi"/>
          <w:color w:val="000000"/>
          <w:sz w:val="22"/>
          <w:szCs w:val="22"/>
          <w:lang w:eastAsia="fr-FR" w:bidi="ar-SA"/>
        </w:rPr>
        <w:t xml:space="preserve"> année. L’entrée dans ce parcours est sélective, le dépôt d’un dossier via e-candidat est obligatoire. Elle est soumise à un entretien avec la commission compétente.</w:t>
      </w:r>
    </w:p>
    <w:p w14:paraId="1B413E47" w14:textId="77777777" w:rsidR="00304814" w:rsidRDefault="000633BC">
      <w:pPr>
        <w:tabs>
          <w:tab w:val="center" w:pos="4536"/>
          <w:tab w:val="right" w:pos="9180"/>
        </w:tabs>
        <w:spacing w:before="156" w:line="276" w:lineRule="auto"/>
        <w:jc w:val="both"/>
        <w:rPr>
          <w:rFonts w:ascii="Century Gothic" w:hAnsi="Century Gothic"/>
        </w:rPr>
      </w:pPr>
      <w:r>
        <w:rPr>
          <w:rFonts w:ascii="Century Gothic" w:eastAsia="Times New Roman" w:hAnsi="Century Gothic" w:cstheme="minorHAnsi"/>
          <w:b/>
          <w:color w:val="000000"/>
          <w:sz w:val="22"/>
          <w:szCs w:val="22"/>
          <w:lang w:eastAsia="fr-FR" w:bidi="ar-SA"/>
        </w:rPr>
        <w:t>Le parcours « Commerce International » inclut une mineure Commerce International qui est obligatoire, ne peut pas être interchangée avec une autre mineure de la licence LEA.</w:t>
      </w:r>
    </w:p>
    <w:p w14:paraId="30FEEB0F" w14:textId="77777777" w:rsidR="00304814" w:rsidRDefault="000633BC">
      <w:pPr>
        <w:tabs>
          <w:tab w:val="center" w:pos="4536"/>
          <w:tab w:val="right" w:pos="9180"/>
        </w:tabs>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t>Le parcours « Commerce International » inclut aux semestres 4 et 6 un stage obligatoire d’une durée de huit semaines. Toute interruption de stage avant le terme initialement prévu dans la convention établie à cet effet entraîne l’invalidité de la période de stage effectuée avant la date d’interruption et la nécessité d’effectuer un autre stage de la durée réglementaire prescrite (8 semaines).</w:t>
      </w:r>
    </w:p>
    <w:p w14:paraId="3E8C59F1" w14:textId="77777777" w:rsidR="00304814" w:rsidRDefault="000633BC">
      <w:pPr>
        <w:tabs>
          <w:tab w:val="center" w:pos="4536"/>
          <w:tab w:val="right" w:pos="9180"/>
        </w:tabs>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t>Les étudiants inscrits en parcours « Commerce International » auront la possibilité d’effectuer un cursus intégré à l’étranger au semestre 6. Les mobilités internationales ne sont pas possibles pour ce parcours aux semestres 3, 4 ni 5.</w:t>
      </w:r>
    </w:p>
    <w:p w14:paraId="296354EF" w14:textId="77777777" w:rsidR="00304814" w:rsidRDefault="000633BC">
      <w:pPr>
        <w:tabs>
          <w:tab w:val="center" w:pos="4536"/>
          <w:tab w:val="right" w:pos="9180"/>
        </w:tabs>
        <w:spacing w:before="156" w:line="276" w:lineRule="auto"/>
        <w:jc w:val="both"/>
        <w:rPr>
          <w:rFonts w:ascii="Century Gothic" w:eastAsia="Times New Roman" w:hAnsi="Century Gothic" w:cstheme="minorHAnsi"/>
          <w:color w:val="000000"/>
          <w:sz w:val="22"/>
          <w:szCs w:val="22"/>
          <w:u w:val="single"/>
          <w:lang w:eastAsia="fr-FR" w:bidi="ar-SA"/>
        </w:rPr>
      </w:pPr>
      <w:r>
        <w:rPr>
          <w:rFonts w:ascii="Century Gothic" w:eastAsia="Times New Roman" w:hAnsi="Century Gothic" w:cstheme="minorHAnsi"/>
          <w:color w:val="000000"/>
          <w:sz w:val="22"/>
          <w:szCs w:val="22"/>
          <w:lang w:eastAsia="fr-FR" w:bidi="ar-SA"/>
        </w:rPr>
        <w:t xml:space="preserve">4.       </w:t>
      </w:r>
      <w:r>
        <w:rPr>
          <w:rFonts w:ascii="Century Gothic" w:eastAsia="Times New Roman" w:hAnsi="Century Gothic" w:cstheme="minorHAnsi"/>
          <w:color w:val="000000"/>
          <w:sz w:val="22"/>
          <w:szCs w:val="22"/>
          <w:u w:val="single"/>
          <w:lang w:eastAsia="fr-FR" w:bidi="ar-SA"/>
        </w:rPr>
        <w:t>Spécificité parcours Economie et politique européennes (EPE)</w:t>
      </w:r>
    </w:p>
    <w:p w14:paraId="62BE1B41" w14:textId="77777777" w:rsidR="00304814" w:rsidRDefault="000633BC">
      <w:pPr>
        <w:tabs>
          <w:tab w:val="center" w:pos="4536"/>
          <w:tab w:val="right" w:pos="9180"/>
        </w:tabs>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t>Le parcours Economie et politique européennes (EPE) combine une majeure LEA anglais-allemand, anglais-espagnol, anglais-italien ou anglais-polonais avec une mineure Economie internationale et un Diplôme d’Université Politique Internationale et Européenne (DU PIE). Les étudiants admis en parcours EPE sont exonérés de frais d’inscription en DU PIE. Aucun changement de mineure et aucun changement de langue B ne sont autorisés dans le cadre de ce parcours. Les étudiants demandant un changement de mineure ou de langue B sont réputés avoir abandonné le parcours EPE.</w:t>
      </w:r>
    </w:p>
    <w:p w14:paraId="322882ED" w14:textId="77777777" w:rsidR="00304814" w:rsidRDefault="000633BC">
      <w:pPr>
        <w:tabs>
          <w:tab w:val="center" w:pos="4536"/>
          <w:tab w:val="right" w:pos="9180"/>
        </w:tabs>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t>Par dérogation au régime général des mobilités sortantes, les étudiants du parcours EPE effectuent leur année de L2 dans une université européenne partenaire. Ils effectuent leur année de L3 dans une université partenaire d’un autre pays européen.</w:t>
      </w:r>
    </w:p>
    <w:p w14:paraId="573390AB" w14:textId="77777777" w:rsidR="00304814" w:rsidRDefault="000633BC">
      <w:pPr>
        <w:tabs>
          <w:tab w:val="center" w:pos="4536"/>
          <w:tab w:val="right" w:pos="9180"/>
        </w:tabs>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t>L’admission en L2 est conditionnée à la validation de la majeure et de la mineure de L1. L’admission en L3 est prononcée sur la base du relevé de notes établi à partir des résultats obtenus en L2 à l’étranger.</w:t>
      </w:r>
    </w:p>
    <w:p w14:paraId="7041D067" w14:textId="6BEB5BFF" w:rsidR="00304814" w:rsidRDefault="000633BC">
      <w:pPr>
        <w:tabs>
          <w:tab w:val="center" w:pos="4536"/>
          <w:tab w:val="right" w:pos="9180"/>
        </w:tabs>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t>Si le calendrier universitaire de l’établissement partenaire où s’effectue la mobilité de L2 ne permet pas de valider la L2 avant le départ pour la seconde mobilité en L3, ce départ est autorisé par dérogation du doyen ou, par délégation, de l’assesseur RI. S’il apparaît ultérieurement que l’année de L2 n’a pas été validée, l’étudiant est convoqué avant la fin de l’année universitaire à un examen de validation des matières de L2 non acquises.</w:t>
      </w:r>
    </w:p>
    <w:p w14:paraId="4690023C" w14:textId="77777777" w:rsidR="00631E5B" w:rsidRDefault="000633BC" w:rsidP="00631E5B">
      <w:pPr>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t xml:space="preserve">En sus des cours de langues et d’économie, les contrats pédagogiques des étudiants du parcours EPE en mobilité doivent inclure des enseignements de géopolitique et relations internationales équivalents à ceux prévus par la maquette du </w:t>
      </w:r>
      <w:proofErr w:type="spellStart"/>
      <w:r>
        <w:rPr>
          <w:rFonts w:ascii="Century Gothic" w:eastAsia="Times New Roman" w:hAnsi="Century Gothic" w:cstheme="minorHAnsi"/>
          <w:color w:val="000000"/>
          <w:sz w:val="22"/>
          <w:szCs w:val="22"/>
          <w:lang w:eastAsia="fr-FR" w:bidi="ar-SA"/>
        </w:rPr>
        <w:t>DU</w:t>
      </w:r>
      <w:proofErr w:type="spellEnd"/>
      <w:r>
        <w:rPr>
          <w:rFonts w:ascii="Century Gothic" w:eastAsia="Times New Roman" w:hAnsi="Century Gothic" w:cstheme="minorHAnsi"/>
          <w:color w:val="000000"/>
          <w:sz w:val="22"/>
          <w:szCs w:val="22"/>
          <w:lang w:eastAsia="fr-FR" w:bidi="ar-SA"/>
        </w:rPr>
        <w:t xml:space="preserve"> PIE</w:t>
      </w:r>
      <w:r w:rsidR="00631E5B">
        <w:rPr>
          <w:rFonts w:ascii="Century Gothic" w:eastAsia="Times New Roman" w:hAnsi="Century Gothic" w:cstheme="minorHAnsi"/>
          <w:color w:val="000000"/>
          <w:sz w:val="22"/>
          <w:szCs w:val="22"/>
          <w:lang w:eastAsia="fr-FR" w:bidi="ar-SA"/>
        </w:rPr>
        <w:t>.</w:t>
      </w:r>
    </w:p>
    <w:p w14:paraId="45D3274E" w14:textId="656A78D1" w:rsidR="00631E5B" w:rsidRPr="00631E5B" w:rsidRDefault="00631E5B" w:rsidP="00631E5B">
      <w:pPr>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color w:val="000000"/>
          <w:sz w:val="22"/>
          <w:szCs w:val="22"/>
          <w:lang w:eastAsia="fr-FR" w:bidi="ar-SA"/>
        </w:rPr>
        <w:lastRenderedPageBreak/>
        <w:t>5.</w:t>
      </w:r>
      <w:r w:rsidRPr="00631E5B">
        <w:rPr>
          <w:rFonts w:ascii="Century Gothic" w:eastAsia="Calibri" w:hAnsi="Century Gothic" w:cstheme="minorHAnsi"/>
          <w:b/>
          <w:color w:val="000000"/>
          <w:sz w:val="22"/>
          <w:szCs w:val="22"/>
          <w:lang w:eastAsia="fr-FR" w:bidi="ar-SA"/>
        </w:rPr>
        <w:t xml:space="preserve">Dispositions particulières Double Licence Gestion – LEA </w:t>
      </w:r>
    </w:p>
    <w:p w14:paraId="5097B27A" w14:textId="77777777" w:rsidR="00631E5B" w:rsidRPr="00631E5B" w:rsidRDefault="00631E5B" w:rsidP="00631E5B">
      <w:pPr>
        <w:spacing w:before="156" w:line="276" w:lineRule="auto"/>
        <w:jc w:val="both"/>
        <w:rPr>
          <w:rFonts w:ascii="Century Gothic" w:eastAsia="Calibri" w:hAnsi="Century Gothic" w:cstheme="minorHAnsi"/>
          <w:color w:val="000000"/>
          <w:sz w:val="22"/>
          <w:szCs w:val="22"/>
          <w:lang w:eastAsia="fr-FR" w:bidi="ar-SA"/>
        </w:rPr>
      </w:pPr>
      <w:r w:rsidRPr="00631E5B">
        <w:rPr>
          <w:rFonts w:ascii="Century Gothic" w:eastAsia="Calibri" w:hAnsi="Century Gothic" w:cstheme="minorHAnsi"/>
          <w:color w:val="000000"/>
          <w:sz w:val="22"/>
          <w:szCs w:val="22"/>
          <w:lang w:eastAsia="fr-FR" w:bidi="ar-SA"/>
        </w:rPr>
        <w:t xml:space="preserve">Un étudiant inscrit en double cursus Gestion-LEA ne suit pas de mineure. Dans le cas d’une inscription en double cursus Gestion et Management + LEA, l’étudiant suivra 3 majeures par semestre (deux en LEA et une en gestion et management). L’étudiant ne suivra que la majeure transversale côté gestion. Lors d'une année universitaire, l’étudiant doit obligatoirement être inscrit dans les mêmes semestres pour chacun des cursus. Il est donc par exemple totalement impossible qu'un étudiant soit inscrit la même année dans les semestres 3 et 4 d’un cursus, et dans les semestres 5 et 6 de l’autre cursus. </w:t>
      </w:r>
    </w:p>
    <w:p w14:paraId="66A6D5AC" w14:textId="77777777" w:rsidR="00631E5B" w:rsidRPr="00631E5B" w:rsidRDefault="00631E5B" w:rsidP="00631E5B">
      <w:pPr>
        <w:spacing w:before="156" w:line="276" w:lineRule="auto"/>
        <w:jc w:val="both"/>
        <w:rPr>
          <w:rFonts w:ascii="Century Gothic" w:eastAsia="Calibri" w:hAnsi="Century Gothic" w:cstheme="minorHAnsi"/>
          <w:color w:val="000000"/>
          <w:sz w:val="22"/>
          <w:szCs w:val="22"/>
          <w:lang w:eastAsia="fr-FR" w:bidi="ar-SA"/>
        </w:rPr>
      </w:pPr>
      <w:r w:rsidRPr="00631E5B">
        <w:rPr>
          <w:rFonts w:ascii="Century Gothic" w:eastAsia="Calibri" w:hAnsi="Century Gothic" w:cstheme="minorHAnsi"/>
          <w:color w:val="000000"/>
          <w:sz w:val="22"/>
          <w:szCs w:val="22"/>
          <w:lang w:eastAsia="fr-FR" w:bidi="ar-SA"/>
        </w:rPr>
        <w:t>Les demandes d’abandon de double-licence sont possibles jusqu’à la fin des deux premières semaines de TD ou en fin d’année universitaire.</w:t>
      </w:r>
    </w:p>
    <w:p w14:paraId="52349208" w14:textId="77777777" w:rsidR="00631E5B" w:rsidRDefault="00631E5B">
      <w:pPr>
        <w:spacing w:before="156" w:line="276" w:lineRule="auto"/>
        <w:jc w:val="both"/>
        <w:rPr>
          <w:rFonts w:ascii="Century Gothic" w:eastAsia="Calibri" w:hAnsi="Century Gothic" w:cstheme="minorHAnsi"/>
          <w:color w:val="000000"/>
          <w:sz w:val="22"/>
          <w:szCs w:val="22"/>
          <w:u w:val="single"/>
          <w:lang w:eastAsia="fr-FR" w:bidi="ar-SA"/>
        </w:rPr>
      </w:pPr>
    </w:p>
    <w:p w14:paraId="13C84F9F" w14:textId="6EC1A8DF" w:rsidR="00304814" w:rsidRDefault="00631E5B">
      <w:pPr>
        <w:spacing w:before="156" w:line="276" w:lineRule="auto"/>
        <w:jc w:val="both"/>
        <w:rPr>
          <w:rFonts w:ascii="Century Gothic" w:hAnsi="Century Gothic"/>
        </w:rPr>
      </w:pPr>
      <w:r>
        <w:rPr>
          <w:rFonts w:ascii="Century Gothic" w:eastAsia="Calibri" w:hAnsi="Century Gothic" w:cstheme="minorHAnsi"/>
          <w:color w:val="000000"/>
          <w:sz w:val="22"/>
          <w:szCs w:val="22"/>
          <w:u w:val="single"/>
          <w:lang w:eastAsia="fr-FR" w:bidi="ar-SA"/>
        </w:rPr>
        <w:t>-6</w:t>
      </w:r>
      <w:r w:rsidR="000633BC">
        <w:rPr>
          <w:rFonts w:ascii="Century Gothic" w:eastAsia="Calibri" w:hAnsi="Century Gothic" w:cstheme="minorHAnsi"/>
          <w:color w:val="000000"/>
          <w:sz w:val="22"/>
          <w:szCs w:val="22"/>
          <w:u w:val="single"/>
          <w:lang w:eastAsia="fr-FR" w:bidi="ar-SA"/>
        </w:rPr>
        <w:t>. Maquettes des formations</w:t>
      </w:r>
    </w:p>
    <w:p w14:paraId="06A34ED9"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Les maquettes des Majeures L1/L2/L3 et les maquettes de mineures proposées par la Faculté des Langues sont reportées en annexe. Pour les mineures gérées par d’autres composantes, se reporter au RMCCC (Règlement d’examens et Modalités de Contrôle des Connaissances et des Compétences) des composantes concernées.</w:t>
      </w:r>
    </w:p>
    <w:p w14:paraId="42148445" w14:textId="77777777" w:rsidR="00304814" w:rsidRDefault="000633BC" w:rsidP="00631E5B">
      <w:pPr>
        <w:pStyle w:val="Paragraphedeliste"/>
        <w:numPr>
          <w:ilvl w:val="0"/>
          <w:numId w:val="22"/>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eastAsia="fr-FR" w:bidi="ar-SA"/>
        </w:rPr>
        <w:t>Dispositif de réussite et de réorientation</w:t>
      </w:r>
    </w:p>
    <w:p w14:paraId="28230FB4" w14:textId="77777777" w:rsidR="00304814" w:rsidRDefault="000633BC">
      <w:pPr>
        <w:pStyle w:val="Paragraphedeliste"/>
        <w:numPr>
          <w:ilvl w:val="0"/>
          <w:numId w:val="9"/>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u w:val="single"/>
          <w:lang w:eastAsia="fr-FR" w:bidi="ar-SA"/>
        </w:rPr>
        <w:t>Dispositifs de réussite</w:t>
      </w:r>
    </w:p>
    <w:p w14:paraId="641E2E8D"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Dans le cadre des politiques de réussite en Licence, plusieurs dispositifs ont été mis en place afin d’aider et accompagner les étudiants durant leurs années d’études :</w:t>
      </w:r>
    </w:p>
    <w:p w14:paraId="74ECBFF8" w14:textId="77777777" w:rsidR="00304814" w:rsidRDefault="000633BC">
      <w:pPr>
        <w:pStyle w:val="Paragraphedeliste"/>
        <w:numPr>
          <w:ilvl w:val="0"/>
          <w:numId w:val="10"/>
        </w:numPr>
        <w:spacing w:before="156" w:line="276" w:lineRule="auto"/>
        <w:ind w:left="0" w:firstLine="0"/>
        <w:contextualSpacing w:val="0"/>
        <w:jc w:val="both"/>
      </w:pPr>
      <w:r>
        <w:rPr>
          <w:rFonts w:ascii="Century Gothic" w:eastAsia="Calibri" w:hAnsi="Century Gothic" w:cstheme="minorHAnsi"/>
          <w:color w:val="000000"/>
          <w:sz w:val="22"/>
          <w:szCs w:val="22"/>
          <w:lang w:eastAsia="fr-FR" w:bidi="ar-SA"/>
        </w:rPr>
        <w:t xml:space="preserve">Le Pôle Réussite de la DEVU propose des modules de 3h afin d’enrichir ses méthodes de travail, de gagner en efficacité et de révéler son potentiel </w:t>
      </w:r>
      <w:hyperlink r:id="rId8" w:tooltip="http://pole-reussite.univ-lyon3.fr" w:history="1">
        <w:r>
          <w:rPr>
            <w:rStyle w:val="Lienhypertexte"/>
          </w:rPr>
          <w:t>http://pole-reussite.univ-lyon3.fr</w:t>
        </w:r>
      </w:hyperlink>
    </w:p>
    <w:p w14:paraId="398D8AC0" w14:textId="77777777" w:rsidR="00304814" w:rsidRDefault="000633BC">
      <w:pPr>
        <w:pStyle w:val="Paragraphedeliste"/>
        <w:spacing w:before="156" w:line="276" w:lineRule="auto"/>
        <w:ind w:left="0"/>
        <w:contextualSpacing w:val="0"/>
        <w:jc w:val="both"/>
        <w:rPr>
          <w:rStyle w:val="Lienhypertexte"/>
          <w:rFonts w:ascii="Century Gothic" w:hAnsi="Century Gothic"/>
          <w:color w:val="auto"/>
          <w:u w:val="none"/>
        </w:rPr>
      </w:pPr>
      <w:r>
        <w:rPr>
          <w:rFonts w:ascii="Century Gothic" w:eastAsia="Calibri" w:hAnsi="Century Gothic" w:cstheme="minorHAnsi"/>
          <w:color w:val="000000"/>
          <w:sz w:val="22"/>
          <w:szCs w:val="22"/>
          <w:lang w:eastAsia="fr-FR" w:bidi="ar-SA"/>
        </w:rPr>
        <w:t xml:space="preserve">Contact : </w:t>
      </w:r>
      <w:hyperlink r:id="rId9" w:tooltip="mailto:pole-reussite@univ-lyon3.fr" w:history="1">
        <w:r>
          <w:rPr>
            <w:rStyle w:val="Lienhypertexte"/>
            <w:rFonts w:ascii="Century Gothic" w:eastAsia="Calibri" w:hAnsi="Century Gothic" w:cstheme="minorHAnsi"/>
            <w:sz w:val="22"/>
            <w:szCs w:val="22"/>
            <w:lang w:eastAsia="fr-FR" w:bidi="ar-SA"/>
          </w:rPr>
          <w:t>pole-reussite@univ-lyon3.fr</w:t>
        </w:r>
      </w:hyperlink>
      <w:r>
        <w:rPr>
          <w:rStyle w:val="Lienhypertexte"/>
          <w:rFonts w:ascii="Century Gothic" w:eastAsia="Calibri" w:hAnsi="Century Gothic" w:cstheme="minorHAnsi"/>
          <w:sz w:val="22"/>
          <w:szCs w:val="22"/>
          <w:lang w:eastAsia="fr-FR" w:bidi="ar-SA"/>
        </w:rPr>
        <w:t xml:space="preserve"> </w:t>
      </w:r>
    </w:p>
    <w:p w14:paraId="0610B2C2"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La faculté des Langues propose également :</w:t>
      </w:r>
    </w:p>
    <w:p w14:paraId="49A66922"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u w:val="single"/>
          <w:lang w:eastAsia="fr-FR" w:bidi="ar-SA"/>
        </w:rPr>
        <w:t>Le tutorat pédagogique en Langues</w:t>
      </w:r>
      <w:r>
        <w:rPr>
          <w:rFonts w:ascii="Century Gothic" w:eastAsia="Calibri" w:hAnsi="Century Gothic" w:cstheme="minorHAnsi"/>
          <w:color w:val="000000"/>
          <w:sz w:val="22"/>
          <w:szCs w:val="22"/>
          <w:lang w:eastAsia="fr-FR" w:bidi="ar-SA"/>
        </w:rPr>
        <w:t xml:space="preserve"> : il s’agit d’un dispositif entièrement gratuit et sur la base du volontariat pour aider les étudiants qui éprouvent des difficultés, notamment en termes de méthodologie de travail. Ce tutorat peut être accompagné par un rendez-vous individuel avec l’enseignant référent de la langue : </w:t>
      </w:r>
      <w:hyperlink r:id="rId10" w:tooltip="https://facdeslangues.univ-lyon3.fr//le-tutorat-pedagogique-pour-reussir-sa-licence-1" w:history="1">
        <w:r>
          <w:rPr>
            <w:rStyle w:val="Lienhypertexte"/>
            <w:rFonts w:ascii="Century Gothic" w:eastAsia="Calibri" w:hAnsi="Century Gothic" w:cstheme="minorHAnsi"/>
            <w:color w:val="000000"/>
            <w:sz w:val="22"/>
            <w:szCs w:val="22"/>
            <w:lang w:eastAsia="fr-FR" w:bidi="ar-SA"/>
          </w:rPr>
          <w:t>https://facdeslangues.univ-lyon3.fr//le-tutorat-pedagogique-pour-reussir-sa-licence-1</w:t>
        </w:r>
      </w:hyperlink>
      <w:r>
        <w:rPr>
          <w:rFonts w:ascii="Century Gothic" w:eastAsia="Calibri" w:hAnsi="Century Gothic" w:cstheme="minorHAnsi"/>
          <w:color w:val="000000"/>
          <w:sz w:val="22"/>
          <w:szCs w:val="22"/>
          <w:lang w:eastAsia="fr-FR" w:bidi="ar-SA"/>
        </w:rPr>
        <w:t xml:space="preserve"> </w:t>
      </w:r>
    </w:p>
    <w:p w14:paraId="101C2116"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u w:val="single"/>
          <w:lang w:eastAsia="fr-FR" w:bidi="ar-SA"/>
        </w:rPr>
        <w:t>Le Collège des Langues</w:t>
      </w:r>
      <w:r>
        <w:rPr>
          <w:rFonts w:ascii="Century Gothic" w:eastAsia="Calibri" w:hAnsi="Century Gothic" w:cstheme="minorHAnsi"/>
          <w:color w:val="000000"/>
          <w:sz w:val="22"/>
          <w:szCs w:val="22"/>
          <w:lang w:eastAsia="fr-FR" w:bidi="ar-SA"/>
        </w:rPr>
        <w:t xml:space="preserve"> est destiné à aiguiser la curiosité des étudiants en licence. Il propose à un rythme de 2 heures par semaine, des enseignements complémentaires à ceux qui sont dispensés dans les parcours ordinaires. L’admission se fait en 1</w:t>
      </w:r>
      <w:r>
        <w:rPr>
          <w:rFonts w:ascii="Century Gothic" w:eastAsia="Calibri" w:hAnsi="Century Gothic" w:cstheme="minorHAnsi"/>
          <w:color w:val="000000"/>
          <w:sz w:val="22"/>
          <w:szCs w:val="22"/>
          <w:vertAlign w:val="superscript"/>
          <w:lang w:eastAsia="fr-FR" w:bidi="ar-SA"/>
        </w:rPr>
        <w:t>ère</w:t>
      </w:r>
      <w:r>
        <w:rPr>
          <w:rFonts w:ascii="Century Gothic" w:eastAsia="Calibri" w:hAnsi="Century Gothic" w:cstheme="minorHAnsi"/>
          <w:color w:val="000000"/>
          <w:sz w:val="22"/>
          <w:szCs w:val="22"/>
          <w:lang w:eastAsia="fr-FR" w:bidi="ar-SA"/>
        </w:rPr>
        <w:t xml:space="preserve"> année sur la base d’un dossier de candidature comportant notamment les notes du baccalauréat : </w:t>
      </w:r>
      <w:hyperlink r:id="rId11" w:tooltip="https://facdeslangues.univ-lyon3.fr//le-college-des-langues-pour-aller-plus-loin-des-la-premiere-annee-de-licence" w:history="1">
        <w:r>
          <w:rPr>
            <w:rStyle w:val="Lienhypertexte"/>
            <w:rFonts w:ascii="Century Gothic" w:eastAsia="Calibri" w:hAnsi="Century Gothic" w:cstheme="minorHAnsi"/>
            <w:color w:val="000000"/>
            <w:sz w:val="22"/>
            <w:szCs w:val="22"/>
            <w:lang w:eastAsia="fr-FR" w:bidi="ar-SA"/>
          </w:rPr>
          <w:t>https://facdeslangues.univ-lyon3.fr//le-college-des-langues-pour-aller-plus-loin-des-la-premiere-annee-de-licence</w:t>
        </w:r>
      </w:hyperlink>
      <w:r>
        <w:rPr>
          <w:rStyle w:val="Lienhypertexte"/>
          <w:rFonts w:ascii="Century Gothic" w:eastAsia="Calibri" w:hAnsi="Century Gothic" w:cstheme="minorHAnsi"/>
          <w:color w:val="000000"/>
          <w:sz w:val="22"/>
          <w:szCs w:val="22"/>
          <w:lang w:eastAsia="fr-FR" w:bidi="ar-SA"/>
        </w:rPr>
        <w:t xml:space="preserve"> </w:t>
      </w:r>
    </w:p>
    <w:p w14:paraId="222DF367" w14:textId="77777777" w:rsidR="00304814" w:rsidRDefault="000633BC">
      <w:pPr>
        <w:pStyle w:val="Paragraphedeliste"/>
        <w:numPr>
          <w:ilvl w:val="0"/>
          <w:numId w:val="9"/>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u w:val="single"/>
          <w:lang w:eastAsia="fr-FR" w:bidi="ar-SA"/>
        </w:rPr>
        <w:lastRenderedPageBreak/>
        <w:t>Régime particulier de changement de mineure</w:t>
      </w:r>
    </w:p>
    <w:p w14:paraId="57DF88EA"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L’étudiant choisit au moment de son inscription une Mineure pour les six semestres Toutefois il peut demander à en changer une seule fois dans le cursus, au plus tard à la fin du 4</w:t>
      </w:r>
      <w:r>
        <w:rPr>
          <w:rFonts w:ascii="Century Gothic" w:eastAsia="Times New Roman" w:hAnsi="Century Gothic" w:cstheme="minorHAnsi"/>
          <w:color w:val="000000"/>
          <w:sz w:val="22"/>
          <w:szCs w:val="22"/>
          <w:vertAlign w:val="superscript"/>
          <w:lang w:eastAsia="fr-FR" w:bidi="ar-SA"/>
        </w:rPr>
        <w:t>ème</w:t>
      </w:r>
      <w:r>
        <w:rPr>
          <w:rFonts w:ascii="Century Gothic" w:eastAsia="Times New Roman" w:hAnsi="Century Gothic" w:cstheme="minorHAnsi"/>
          <w:color w:val="000000"/>
          <w:sz w:val="22"/>
          <w:szCs w:val="22"/>
          <w:lang w:eastAsia="fr-FR" w:bidi="ar-SA"/>
        </w:rPr>
        <w:t xml:space="preserve"> semestre et avant le début du 5</w:t>
      </w:r>
      <w:r>
        <w:rPr>
          <w:rFonts w:ascii="Century Gothic" w:eastAsia="Times New Roman" w:hAnsi="Century Gothic" w:cstheme="minorHAnsi"/>
          <w:color w:val="000000"/>
          <w:sz w:val="22"/>
          <w:szCs w:val="22"/>
          <w:vertAlign w:val="superscript"/>
          <w:lang w:eastAsia="fr-FR" w:bidi="ar-SA"/>
        </w:rPr>
        <w:t>ème</w:t>
      </w:r>
      <w:r>
        <w:rPr>
          <w:rFonts w:ascii="Century Gothic" w:eastAsia="Times New Roman" w:hAnsi="Century Gothic" w:cstheme="minorHAnsi"/>
          <w:color w:val="000000"/>
          <w:sz w:val="22"/>
          <w:szCs w:val="22"/>
          <w:lang w:eastAsia="fr-FR" w:bidi="ar-SA"/>
        </w:rPr>
        <w:t xml:space="preserve"> semestre. La demande de changement de mineure doit être formulée par écrit et adressée au secrétariat gestionnaire de la formation. La demande est alors soumise à la validation du doyen.</w:t>
      </w:r>
    </w:p>
    <w:p w14:paraId="35945253" w14:textId="77777777" w:rsidR="00304814" w:rsidRDefault="000633BC">
      <w:pPr>
        <w:pStyle w:val="Paragraphedeliste"/>
        <w:numPr>
          <w:ilvl w:val="0"/>
          <w:numId w:val="11"/>
        </w:numPr>
        <w:spacing w:before="156" w:line="276" w:lineRule="auto"/>
        <w:ind w:left="0" w:firstLine="0"/>
        <w:contextualSpacing w:val="0"/>
        <w:jc w:val="both"/>
        <w:rPr>
          <w:rFonts w:ascii="Century Gothic" w:hAnsi="Century Gothic"/>
        </w:rPr>
      </w:pPr>
      <w:r>
        <w:rPr>
          <w:rFonts w:ascii="Century Gothic" w:eastAsia="Times New Roman" w:hAnsi="Century Gothic" w:cstheme="minorHAnsi"/>
          <w:color w:val="000000"/>
          <w:sz w:val="22"/>
          <w:szCs w:val="22"/>
          <w:lang w:eastAsia="fr-FR" w:bidi="ar-SA"/>
        </w:rPr>
        <w:t>Pour un changement de mineure en début d’année universitaire : la demande doit être adressée dans un délai de 3 semaines après le début des cours magistraux.</w:t>
      </w:r>
    </w:p>
    <w:p w14:paraId="16270169" w14:textId="77777777" w:rsidR="00304814" w:rsidRDefault="000633BC">
      <w:pPr>
        <w:pStyle w:val="Paragraphedeliste"/>
        <w:numPr>
          <w:ilvl w:val="0"/>
          <w:numId w:val="11"/>
        </w:numPr>
        <w:spacing w:before="156" w:line="276" w:lineRule="auto"/>
        <w:ind w:left="0" w:firstLine="0"/>
        <w:contextualSpacing w:val="0"/>
        <w:jc w:val="both"/>
        <w:rPr>
          <w:rFonts w:ascii="Century Gothic" w:hAnsi="Century Gothic"/>
        </w:rPr>
      </w:pPr>
      <w:r>
        <w:rPr>
          <w:rFonts w:ascii="Century Gothic" w:eastAsia="Times New Roman" w:hAnsi="Century Gothic" w:cstheme="minorHAnsi"/>
          <w:color w:val="000000"/>
          <w:sz w:val="22"/>
          <w:szCs w:val="22"/>
          <w:lang w:eastAsia="fr-FR" w:bidi="ar-SA"/>
        </w:rPr>
        <w:t>Pour un changement de mineure entre les deux semestres : la demande doit être adressée avant le début du semestre pair. La validation de l’année universitaire est alors soumise à l’obtention des crédits de l’ancienne mineure pour le semestre impair et de la nouvelle mineure pour le semestre pair.</w:t>
      </w:r>
    </w:p>
    <w:p w14:paraId="716DE904" w14:textId="77777777" w:rsidR="00304814" w:rsidRDefault="000633BC">
      <w:pPr>
        <w:pStyle w:val="Paragraphedeliste"/>
        <w:numPr>
          <w:ilvl w:val="0"/>
          <w:numId w:val="11"/>
        </w:numPr>
        <w:spacing w:before="156" w:line="276" w:lineRule="auto"/>
        <w:ind w:left="0" w:firstLine="0"/>
        <w:contextualSpacing w:val="0"/>
        <w:jc w:val="both"/>
        <w:rPr>
          <w:rFonts w:ascii="Century Gothic" w:hAnsi="Century Gothic"/>
        </w:rPr>
      </w:pPr>
      <w:r>
        <w:rPr>
          <w:rFonts w:ascii="Century Gothic" w:eastAsia="Times New Roman" w:hAnsi="Century Gothic" w:cstheme="minorHAnsi"/>
          <w:color w:val="000000"/>
          <w:sz w:val="22"/>
          <w:szCs w:val="22"/>
          <w:lang w:eastAsia="fr-FR" w:bidi="ar-SA"/>
        </w:rPr>
        <w:t>En cas de redoublement de l’année universitaire, l’étudiant est inscrit dans la nouvelle mineure.</w:t>
      </w:r>
    </w:p>
    <w:p w14:paraId="2091306C"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Certaines mineures ayant des capacités d’accueil limitées, la demande de changement peut être refusée sur la base de ces capacités d’accueil.</w:t>
      </w:r>
    </w:p>
    <w:p w14:paraId="7CFB5D59" w14:textId="77777777" w:rsidR="00304814" w:rsidRDefault="000633BC">
      <w:pPr>
        <w:spacing w:before="156" w:line="276" w:lineRule="auto"/>
        <w:jc w:val="both"/>
        <w:rPr>
          <w:rFonts w:ascii="Century Gothic" w:eastAsia="Times New Roman" w:hAnsi="Century Gothic" w:cstheme="minorHAnsi"/>
          <w:color w:val="000000"/>
          <w:sz w:val="22"/>
          <w:szCs w:val="22"/>
          <w:lang w:eastAsia="fr-FR" w:bidi="ar-SA"/>
        </w:rPr>
      </w:pPr>
      <w:r>
        <w:rPr>
          <w:rFonts w:ascii="Century Gothic" w:eastAsia="Times New Roman" w:hAnsi="Century Gothic" w:cstheme="minorHAnsi"/>
          <w:b/>
          <w:i/>
          <w:color w:val="000000"/>
          <w:sz w:val="22"/>
          <w:szCs w:val="22"/>
          <w:lang w:eastAsia="fr-FR" w:bidi="ar-SA"/>
        </w:rPr>
        <w:t>Pour des raisons pédagogiques la mineure « Langue et Culture » doit être suivie dès le 1er semestre et n’est pas accessible en cours de cursus (sauf si validation d’acquis)</w:t>
      </w:r>
      <w:r>
        <w:rPr>
          <w:rFonts w:ascii="Century Gothic" w:eastAsia="Times New Roman" w:hAnsi="Century Gothic" w:cstheme="minorHAnsi"/>
          <w:color w:val="000000"/>
          <w:sz w:val="22"/>
          <w:szCs w:val="22"/>
          <w:lang w:eastAsia="fr-FR" w:bidi="ar-SA"/>
        </w:rPr>
        <w:t>. Les étudiants issus des cursus 4 ans ne peuvent accéder à cette mineure qu’après une demande motivée adressée à l’assesseur responsable de la licence LEA.</w:t>
      </w:r>
    </w:p>
    <w:p w14:paraId="52390F6D" w14:textId="77777777" w:rsidR="00304814" w:rsidRDefault="000633BC">
      <w:pPr>
        <w:pStyle w:val="Paragraphedeliste"/>
        <w:numPr>
          <w:ilvl w:val="0"/>
          <w:numId w:val="9"/>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u w:val="single"/>
          <w:lang w:eastAsia="fr-FR" w:bidi="ar-SA"/>
        </w:rPr>
        <w:t>Réorientation en fin de 1</w:t>
      </w:r>
      <w:r>
        <w:rPr>
          <w:rFonts w:ascii="Century Gothic" w:eastAsia="Calibri" w:hAnsi="Century Gothic" w:cstheme="minorHAnsi"/>
          <w:color w:val="000000"/>
          <w:sz w:val="22"/>
          <w:szCs w:val="22"/>
          <w:u w:val="single"/>
          <w:vertAlign w:val="superscript"/>
          <w:lang w:eastAsia="fr-FR" w:bidi="ar-SA"/>
        </w:rPr>
        <w:t>re</w:t>
      </w:r>
      <w:r>
        <w:rPr>
          <w:rFonts w:ascii="Century Gothic" w:eastAsia="Calibri" w:hAnsi="Century Gothic" w:cstheme="minorHAnsi"/>
          <w:color w:val="000000"/>
          <w:sz w:val="22"/>
          <w:szCs w:val="22"/>
          <w:u w:val="single"/>
          <w:lang w:eastAsia="fr-FR" w:bidi="ar-SA"/>
        </w:rPr>
        <w:t xml:space="preserve"> année de licence</w:t>
      </w:r>
    </w:p>
    <w:p w14:paraId="7211983E" w14:textId="77777777" w:rsidR="00304814" w:rsidRDefault="000633BC">
      <w:pPr>
        <w:spacing w:before="156" w:line="276" w:lineRule="auto"/>
        <w:jc w:val="both"/>
        <w:rPr>
          <w:rFonts w:ascii="Century Gothic" w:eastAsia="Calibri" w:hAnsi="Century Gothic" w:cstheme="minorHAnsi"/>
          <w:color w:val="000000"/>
          <w:sz w:val="22"/>
          <w:szCs w:val="22"/>
          <w:lang w:eastAsia="fr-FR" w:bidi="ar-SA"/>
        </w:rPr>
      </w:pPr>
      <w:r>
        <w:rPr>
          <w:rFonts w:ascii="Century Gothic" w:eastAsia="Calibri" w:hAnsi="Century Gothic" w:cstheme="minorHAnsi"/>
          <w:color w:val="000000"/>
          <w:sz w:val="22"/>
          <w:szCs w:val="22"/>
          <w:lang w:eastAsia="fr-FR" w:bidi="ar-SA"/>
        </w:rPr>
        <w:t>La réorientation n’est de droit qu’à l’issue de la 1</w:t>
      </w:r>
      <w:r>
        <w:rPr>
          <w:rFonts w:ascii="Century Gothic" w:eastAsia="Calibri" w:hAnsi="Century Gothic" w:cstheme="minorHAnsi"/>
          <w:color w:val="000000"/>
          <w:sz w:val="22"/>
          <w:szCs w:val="22"/>
          <w:vertAlign w:val="superscript"/>
          <w:lang w:eastAsia="fr-FR" w:bidi="ar-SA"/>
        </w:rPr>
        <w:t>re</w:t>
      </w:r>
      <w:r>
        <w:rPr>
          <w:rFonts w:ascii="Century Gothic" w:eastAsia="Calibri" w:hAnsi="Century Gothic" w:cstheme="minorHAnsi"/>
          <w:color w:val="000000"/>
          <w:sz w:val="22"/>
          <w:szCs w:val="22"/>
          <w:lang w:eastAsia="fr-FR" w:bidi="ar-SA"/>
        </w:rPr>
        <w:t xml:space="preserve"> année de licence et seulement dans la mention disciplinaire et les parcours de la mineure suivis par l’étudiant. </w:t>
      </w:r>
    </w:p>
    <w:p w14:paraId="280A85F3" w14:textId="77777777" w:rsidR="00304814" w:rsidRDefault="000633BC">
      <w:pPr>
        <w:spacing w:before="156" w:line="276" w:lineRule="auto"/>
        <w:jc w:val="both"/>
        <w:rPr>
          <w:rFonts w:ascii="Century Gothic" w:hAnsi="Century Gothic"/>
          <w:sz w:val="22"/>
          <w:szCs w:val="22"/>
        </w:rPr>
      </w:pPr>
      <w:r>
        <w:rPr>
          <w:rFonts w:ascii="Century Gothic" w:hAnsi="Century Gothic"/>
          <w:sz w:val="22"/>
          <w:szCs w:val="22"/>
        </w:rPr>
        <w:t>La réorientation n’est possible que sous la forme d’une interversion entre la LVB de la majeure et la LVC de la mineure « langue et entreprise » ou de la mineure « langue et culture ». Les autres types de réorientation seront refusés.</w:t>
      </w:r>
    </w:p>
    <w:p w14:paraId="36C185D5" w14:textId="77777777" w:rsidR="00304814" w:rsidRDefault="00304814">
      <w:pPr>
        <w:widowControl w:val="0"/>
        <w:spacing w:line="280" w:lineRule="exact"/>
        <w:ind w:right="-1"/>
        <w:jc w:val="both"/>
        <w:rPr>
          <w:rFonts w:ascii="Century Gothic" w:eastAsia="Calibri" w:hAnsi="Century Gothic" w:cs="Times New Roman"/>
          <w:sz w:val="22"/>
          <w:szCs w:val="22"/>
          <w:lang w:bidi="ar-SA"/>
        </w:rPr>
      </w:pPr>
    </w:p>
    <w:p w14:paraId="39380BF4" w14:textId="77777777" w:rsidR="00304814" w:rsidRDefault="000633BC">
      <w:pPr>
        <w:widowControl w:val="0"/>
        <w:spacing w:line="280" w:lineRule="exact"/>
        <w:ind w:right="-1"/>
        <w:jc w:val="both"/>
        <w:rPr>
          <w:rFonts w:ascii="Century Gothic" w:eastAsia="Calibri" w:hAnsi="Century Gothic" w:cs="Times New Roman"/>
          <w:color w:val="000000"/>
          <w:sz w:val="22"/>
          <w:szCs w:val="22"/>
          <w:lang w:eastAsia="fr-FR" w:bidi="ar-SA"/>
        </w:rPr>
      </w:pPr>
      <w:r>
        <w:rPr>
          <w:rFonts w:ascii="Century Gothic" w:eastAsia="Calibri" w:hAnsi="Century Gothic" w:cs="Times New Roman"/>
          <w:color w:val="000000"/>
          <w:sz w:val="22"/>
          <w:szCs w:val="22"/>
          <w:lang w:eastAsia="fr-FR" w:bidi="ar-SA"/>
        </w:rPr>
        <w:t xml:space="preserve">La procédure de réorientation ne dispense pas l’étudiant de se </w:t>
      </w:r>
      <w:r>
        <w:rPr>
          <w:rFonts w:ascii="Century Gothic" w:eastAsia="Calibri" w:hAnsi="Century Gothic" w:cs="Times New Roman"/>
          <w:b/>
          <w:bCs/>
          <w:color w:val="000000"/>
          <w:sz w:val="22"/>
          <w:szCs w:val="22"/>
          <w:lang w:eastAsia="fr-FR" w:bidi="ar-SA"/>
        </w:rPr>
        <w:t>présenter aux examens terminaux à la fin du semestre</w:t>
      </w:r>
      <w:r>
        <w:rPr>
          <w:rFonts w:ascii="Century Gothic" w:eastAsia="Calibri" w:hAnsi="Century Gothic" w:cs="Times New Roman"/>
          <w:color w:val="000000"/>
          <w:sz w:val="22"/>
          <w:szCs w:val="22"/>
          <w:lang w:eastAsia="fr-FR" w:bidi="ar-SA"/>
        </w:rPr>
        <w:t>, et à la seconde chance en fin d’année. En cas de réorientation entre le semestre impair et le semestre pair, les étudiants éventuellement convoqués à la seconde chance pour une épreuve de LVB composent sur la LVB du semestre pair.</w:t>
      </w:r>
    </w:p>
    <w:p w14:paraId="362F65BC" w14:textId="77777777" w:rsidR="00304814" w:rsidRDefault="000633BC">
      <w:pPr>
        <w:pStyle w:val="Paragraphedeliste"/>
        <w:numPr>
          <w:ilvl w:val="0"/>
          <w:numId w:val="9"/>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u w:val="single"/>
          <w:lang w:eastAsia="fr-FR" w:bidi="ar-SA"/>
        </w:rPr>
        <w:t>Autres cas de réorientation</w:t>
      </w:r>
      <w:r>
        <w:rPr>
          <w:rFonts w:ascii="Century Gothic" w:eastAsia="Calibri" w:hAnsi="Century Gothic" w:cstheme="minorHAnsi"/>
          <w:color w:val="000000"/>
          <w:sz w:val="22"/>
          <w:szCs w:val="22"/>
          <w:lang w:eastAsia="fr-FR" w:bidi="ar-SA"/>
        </w:rPr>
        <w:t> :</w:t>
      </w:r>
    </w:p>
    <w:p w14:paraId="535EABD2"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 xml:space="preserve">Dans tous les autres cas (réorientation à l’issue du S1, S3 et S4 et réorientation dans une autre mention ou dans un autre parcours), une demande ne peut être adressée qu’une seule fois au cours du cursus. Elle est soumise à la décision souveraine d’une commission </w:t>
      </w:r>
      <w:r>
        <w:rPr>
          <w:rFonts w:ascii="Century Gothic" w:eastAsia="Calibri" w:hAnsi="Century Gothic" w:cstheme="minorHAnsi"/>
          <w:color w:val="000000"/>
          <w:sz w:val="22"/>
          <w:szCs w:val="22"/>
          <w:lang w:eastAsia="fr-FR" w:bidi="ar-SA"/>
        </w:rPr>
        <w:lastRenderedPageBreak/>
        <w:t>pédagogique constituée par la composante. La procédure de réorientation ne dispense pas l’étudiant de se présenter aux examens terminaux à la fin du semestre et à la « seconde chance » en fin d’année.</w:t>
      </w:r>
    </w:p>
    <w:p w14:paraId="71F27EEA" w14:textId="77777777" w:rsidR="00304814" w:rsidRDefault="000633BC">
      <w:pPr>
        <w:pStyle w:val="Paragraphedeliste"/>
        <w:numPr>
          <w:ilvl w:val="0"/>
          <w:numId w:val="12"/>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 xml:space="preserve">Pour une réorientation à l’issue du S1 : les modalités et le calendrier sont fixées par la composante dont relève la formation souhaitée. Pour une réorientation vers une formation proposée par la faculté des langues (réorientation de la LEA vers la LLCER ou inversement), l’étudiant formule sa demande par écrit et l’adresse au gestionnaire de sa formation durant la dernière semaine de novembre. Cette demande est examinée par une commission pédagogique et soumise à la validation du doyen. </w:t>
      </w:r>
    </w:p>
    <w:p w14:paraId="7EFBB8DC" w14:textId="77777777" w:rsidR="00304814" w:rsidRDefault="000633BC">
      <w:pPr>
        <w:pStyle w:val="Paragraphedeliste"/>
        <w:numPr>
          <w:ilvl w:val="0"/>
          <w:numId w:val="12"/>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 xml:space="preserve">Pour une réorientation à l’issue de la L1 et de la L2 dans une autre mention ou dans un autre parcours de la formation suivie : l’étudiant soumet son dossier de candidature via la plateforme </w:t>
      </w:r>
      <w:proofErr w:type="spellStart"/>
      <w:r>
        <w:rPr>
          <w:rFonts w:ascii="Century Gothic" w:eastAsia="Calibri" w:hAnsi="Century Gothic" w:cstheme="minorHAnsi"/>
          <w:color w:val="000000"/>
          <w:sz w:val="22"/>
          <w:szCs w:val="22"/>
          <w:lang w:eastAsia="fr-FR" w:bidi="ar-SA"/>
        </w:rPr>
        <w:t>ecandidat</w:t>
      </w:r>
      <w:proofErr w:type="spellEnd"/>
      <w:r>
        <w:rPr>
          <w:rFonts w:ascii="Century Gothic" w:eastAsia="Calibri" w:hAnsi="Century Gothic" w:cstheme="minorHAnsi"/>
          <w:color w:val="000000"/>
          <w:sz w:val="22"/>
          <w:szCs w:val="22"/>
          <w:lang w:eastAsia="fr-FR" w:bidi="ar-SA"/>
        </w:rPr>
        <w:t xml:space="preserve"> pour une admission en 2</w:t>
      </w:r>
      <w:r>
        <w:rPr>
          <w:rFonts w:ascii="Century Gothic" w:eastAsia="Calibri" w:hAnsi="Century Gothic" w:cstheme="minorHAnsi"/>
          <w:color w:val="000000"/>
          <w:sz w:val="22"/>
          <w:szCs w:val="22"/>
          <w:vertAlign w:val="superscript"/>
          <w:lang w:eastAsia="fr-FR" w:bidi="ar-SA"/>
        </w:rPr>
        <w:t>e</w:t>
      </w:r>
      <w:r>
        <w:rPr>
          <w:rFonts w:ascii="Century Gothic" w:eastAsia="Calibri" w:hAnsi="Century Gothic" w:cstheme="minorHAnsi"/>
          <w:color w:val="000000"/>
          <w:sz w:val="22"/>
          <w:szCs w:val="22"/>
          <w:lang w:eastAsia="fr-FR" w:bidi="ar-SA"/>
        </w:rPr>
        <w:t xml:space="preserve"> ou 3</w:t>
      </w:r>
      <w:r>
        <w:rPr>
          <w:rFonts w:ascii="Century Gothic" w:eastAsia="Calibri" w:hAnsi="Century Gothic" w:cstheme="minorHAnsi"/>
          <w:color w:val="000000"/>
          <w:sz w:val="22"/>
          <w:szCs w:val="22"/>
          <w:vertAlign w:val="superscript"/>
          <w:lang w:eastAsia="fr-FR" w:bidi="ar-SA"/>
        </w:rPr>
        <w:t>e</w:t>
      </w:r>
      <w:r>
        <w:rPr>
          <w:rFonts w:ascii="Century Gothic" w:eastAsia="Calibri" w:hAnsi="Century Gothic" w:cstheme="minorHAnsi"/>
          <w:color w:val="000000"/>
          <w:sz w:val="22"/>
          <w:szCs w:val="22"/>
          <w:lang w:eastAsia="fr-FR" w:bidi="ar-SA"/>
        </w:rPr>
        <w:t xml:space="preserve"> année de licence. La demande est examinée par une commission pédagogique.</w:t>
      </w:r>
    </w:p>
    <w:p w14:paraId="19EFD8D2" w14:textId="77777777" w:rsidR="00304814" w:rsidRDefault="000633BC" w:rsidP="00631E5B">
      <w:pPr>
        <w:pStyle w:val="Paragraphedeliste"/>
        <w:numPr>
          <w:ilvl w:val="0"/>
          <w:numId w:val="7"/>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eastAsia="fr-FR" w:bidi="ar-SA"/>
        </w:rPr>
        <w:t>Inscription</w:t>
      </w:r>
    </w:p>
    <w:p w14:paraId="215D9E5F"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 xml:space="preserve">Seule une inscription finalisée (paiement des droits d’inscription) confère le statut d’étudiant et permet l’inscription aux TD et la convocation aux examens. Dès l’inscription à l’Université Lyon3, l’étudiant se voit attribuer </w:t>
      </w:r>
      <w:r>
        <w:rPr>
          <w:rFonts w:ascii="Century Gothic" w:eastAsia="Times New Roman" w:hAnsi="Century Gothic" w:cstheme="minorHAnsi"/>
          <w:color w:val="000000"/>
          <w:sz w:val="22"/>
          <w:szCs w:val="22"/>
          <w:u w:val="single"/>
          <w:lang w:eastAsia="fr-FR" w:bidi="ar-SA"/>
        </w:rPr>
        <w:t>une adresse institutionnelle</w:t>
      </w:r>
      <w:r>
        <w:rPr>
          <w:rFonts w:ascii="Century Gothic" w:eastAsia="Times New Roman" w:hAnsi="Century Gothic" w:cstheme="minorHAnsi"/>
          <w:color w:val="000000"/>
          <w:sz w:val="22"/>
          <w:szCs w:val="22"/>
          <w:lang w:eastAsia="fr-FR" w:bidi="ar-SA"/>
        </w:rPr>
        <w:t>. Il appartient à l’étudiant de consulter régulièrement cette boîte mail ainsi que son intranet pour connaître toutes les informations de son cursus (emploi du temps, examens, rattrapages de cours…).</w:t>
      </w:r>
    </w:p>
    <w:p w14:paraId="1F917130"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b/>
          <w:color w:val="000000"/>
          <w:sz w:val="22"/>
          <w:szCs w:val="22"/>
          <w:lang w:eastAsia="fr-FR" w:bidi="ar-SA"/>
        </w:rPr>
        <w:t>NB : Les étudiants sont invités à communiquer avec les scolarités et les équipes pédagogiques en utilisant uniquement leur messagerie universitaire.</w:t>
      </w:r>
    </w:p>
    <w:p w14:paraId="29B00DA3" w14:textId="77777777" w:rsidR="00304814" w:rsidRDefault="000633BC" w:rsidP="00631E5B">
      <w:pPr>
        <w:pStyle w:val="Paragraphedeliste"/>
        <w:numPr>
          <w:ilvl w:val="0"/>
          <w:numId w:val="7"/>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eastAsia="fr-FR" w:bidi="ar-SA"/>
        </w:rPr>
        <w:t>Abandon de la scolarité</w:t>
      </w:r>
    </w:p>
    <w:p w14:paraId="6207FFD4"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L’étudiant peut demander à abandonner sa scolarité à tout moment de l’année universitaire. Cet abandon est notifié par un formulaire rempli par l’étudiant et signé par l’administration. L’étudiant n’est dès lors pas convoqué aux examens.</w:t>
      </w:r>
    </w:p>
    <w:p w14:paraId="67EE4B25"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 xml:space="preserve">Dans le cas d’un abandon d’études avant la rentrée universitaire (hors transfert pour une autre université), l’étudiant pourra demander le remboursement des droits nationaux réglés lors de l’inscription. Le remboursement est de droit (hors montant de 23€ restant acquis à l’université pour les frais de gestion). L’étudiant doit déclarer son abandon auprès de la scolarité du diplôme et déposer </w:t>
      </w:r>
      <w:r>
        <w:rPr>
          <w:rFonts w:ascii="Century Gothic" w:eastAsia="Calibri" w:hAnsi="Century Gothic" w:cstheme="minorHAnsi"/>
          <w:b/>
          <w:bCs/>
          <w:color w:val="000000"/>
          <w:sz w:val="22"/>
          <w:szCs w:val="22"/>
          <w:lang w:eastAsia="fr-FR" w:bidi="ar-SA"/>
        </w:rPr>
        <w:t>avant le 15 octobre</w:t>
      </w:r>
      <w:r>
        <w:rPr>
          <w:rFonts w:ascii="Century Gothic" w:eastAsia="Calibri" w:hAnsi="Century Gothic" w:cstheme="minorHAnsi"/>
          <w:color w:val="000000"/>
          <w:sz w:val="22"/>
          <w:szCs w:val="22"/>
          <w:lang w:eastAsia="fr-FR" w:bidi="ar-SA"/>
        </w:rPr>
        <w:t xml:space="preserve"> le dossier complet pour demander le remboursement des droits d’inscriptions. Le retrait des formulaires et le dépôt des demandes se font en ligne depuis l’intranet étudiant :   </w:t>
      </w:r>
      <w:r>
        <w:rPr>
          <w:rFonts w:ascii="Century Gothic" w:eastAsia="Calibri" w:hAnsi="Century Gothic" w:cstheme="minorHAnsi"/>
          <w:b/>
          <w:color w:val="000000"/>
          <w:sz w:val="22"/>
          <w:szCs w:val="22"/>
          <w:lang w:eastAsia="fr-FR" w:bidi="ar-SA"/>
        </w:rPr>
        <w:t>Etudes &gt; Procédures de scolarité &gt; Remboursement</w:t>
      </w:r>
      <w:r>
        <w:rPr>
          <w:rFonts w:ascii="Century Gothic" w:eastAsia="Calibri" w:hAnsi="Century Gothic" w:cstheme="minorHAnsi"/>
          <w:color w:val="000000"/>
          <w:sz w:val="22"/>
          <w:szCs w:val="22"/>
          <w:lang w:eastAsia="fr-FR" w:bidi="ar-SA"/>
        </w:rPr>
        <w:t>.</w:t>
      </w:r>
    </w:p>
    <w:p w14:paraId="3BC5B032" w14:textId="1625831C" w:rsidR="00304814" w:rsidRDefault="000633BC">
      <w:pPr>
        <w:spacing w:before="156" w:line="276" w:lineRule="auto"/>
        <w:jc w:val="both"/>
        <w:rPr>
          <w:rFonts w:ascii="Century Gothic" w:eastAsia="Calibri" w:hAnsi="Century Gothic" w:cstheme="minorHAnsi"/>
          <w:color w:val="000000"/>
          <w:sz w:val="22"/>
          <w:szCs w:val="22"/>
          <w:lang w:eastAsia="fr-FR" w:bidi="ar-SA"/>
        </w:rPr>
      </w:pPr>
      <w:r>
        <w:rPr>
          <w:rFonts w:ascii="Century Gothic" w:eastAsia="Calibri" w:hAnsi="Century Gothic" w:cstheme="minorHAnsi"/>
          <w:color w:val="000000"/>
          <w:sz w:val="22"/>
          <w:szCs w:val="22"/>
          <w:lang w:eastAsia="fr-FR" w:bidi="ar-SA"/>
        </w:rPr>
        <w:t xml:space="preserve">Un étudiant boursier qui abandonne sa scolarité doit contacter le Crous pour notifier cet arrêt, en veillant à bien en préciser la date. Le versement de la bourse sera alors suspendu et un remboursement pourra être demandé en fonction de la date effective de l’abandon de la scolarité et du contrôle de l’assiduité. L’abandon a pour conséquence que l’étudiant </w:t>
      </w:r>
      <w:r>
        <w:rPr>
          <w:rFonts w:ascii="Century Gothic" w:eastAsia="Calibri" w:hAnsi="Century Gothic" w:cstheme="minorHAnsi"/>
          <w:color w:val="000000"/>
          <w:sz w:val="22"/>
          <w:szCs w:val="22"/>
          <w:lang w:eastAsia="fr-FR" w:bidi="ar-SA"/>
        </w:rPr>
        <w:lastRenderedPageBreak/>
        <w:t xml:space="preserve">aura utilisé un droit à bourse, ce qui est à prendre en considération s’il compte reprendre ses études ultérieurement et solliciter un nouveau droit à bourse. Les formulaires d’abandon et de remboursement sont disponibles sur l’intranet étudiant :  </w:t>
      </w:r>
      <w:r>
        <w:rPr>
          <w:rFonts w:ascii="Century Gothic" w:eastAsia="Calibri" w:hAnsi="Century Gothic" w:cstheme="minorHAnsi"/>
          <w:b/>
          <w:color w:val="000000"/>
          <w:sz w:val="22"/>
          <w:szCs w:val="22"/>
          <w:lang w:eastAsia="fr-FR" w:bidi="ar-SA"/>
        </w:rPr>
        <w:t>Etudes &gt; Procédures de scolarité &gt; Remboursement</w:t>
      </w:r>
      <w:r>
        <w:rPr>
          <w:rFonts w:ascii="Century Gothic" w:eastAsia="Calibri" w:hAnsi="Century Gothic" w:cstheme="minorHAnsi"/>
          <w:color w:val="000000"/>
          <w:sz w:val="22"/>
          <w:szCs w:val="22"/>
          <w:lang w:eastAsia="fr-FR" w:bidi="ar-SA"/>
        </w:rPr>
        <w:t>.</w:t>
      </w:r>
    </w:p>
    <w:p w14:paraId="3823775E" w14:textId="77777777" w:rsidR="00631E5B" w:rsidRDefault="00631E5B" w:rsidP="00631E5B">
      <w:pPr>
        <w:spacing w:before="156" w:line="276" w:lineRule="auto"/>
        <w:jc w:val="both"/>
        <w:rPr>
          <w:rFonts w:ascii="Century Gothic" w:eastAsia="Calibri" w:hAnsi="Century Gothic" w:cstheme="minorHAnsi"/>
          <w:color w:val="000000"/>
          <w:sz w:val="22"/>
          <w:szCs w:val="22"/>
          <w:lang w:eastAsia="fr-FR" w:bidi="ar-SA"/>
        </w:rPr>
      </w:pPr>
    </w:p>
    <w:p w14:paraId="4C7660A4" w14:textId="77777777" w:rsidR="00631E5B" w:rsidRPr="00631E5B" w:rsidRDefault="00631E5B" w:rsidP="00631E5B">
      <w:pPr>
        <w:spacing w:before="156" w:line="276" w:lineRule="auto"/>
        <w:jc w:val="both"/>
        <w:rPr>
          <w:rFonts w:ascii="Century Gothic" w:eastAsia="Calibri" w:hAnsi="Century Gothic" w:cstheme="minorHAnsi"/>
          <w:color w:val="000000"/>
          <w:sz w:val="22"/>
          <w:szCs w:val="22"/>
          <w:lang w:eastAsia="fr-FR" w:bidi="ar-SA"/>
        </w:rPr>
      </w:pPr>
    </w:p>
    <w:p w14:paraId="16969D79" w14:textId="77777777" w:rsidR="00631E5B" w:rsidRDefault="00631E5B">
      <w:pPr>
        <w:spacing w:before="156" w:line="276" w:lineRule="auto"/>
        <w:jc w:val="both"/>
        <w:rPr>
          <w:rFonts w:ascii="Century Gothic" w:hAnsi="Century Gothic"/>
        </w:rPr>
      </w:pPr>
    </w:p>
    <w:p w14:paraId="2A053B44"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b/>
          <w:caps/>
          <w:color w:val="000000"/>
          <w:sz w:val="22"/>
          <w:szCs w:val="22"/>
          <w:u w:val="single"/>
          <w:lang w:eastAsia="fr-FR" w:bidi="ar-SA"/>
        </w:rPr>
        <w:t>II – deroulement de la formation</w:t>
      </w:r>
    </w:p>
    <w:p w14:paraId="25BF7606" w14:textId="77777777" w:rsidR="00304814" w:rsidRDefault="000633BC">
      <w:pPr>
        <w:pStyle w:val="Titre1"/>
        <w:numPr>
          <w:ilvl w:val="0"/>
          <w:numId w:val="13"/>
        </w:numPr>
        <w:spacing w:before="156" w:line="276" w:lineRule="auto"/>
        <w:ind w:left="0" w:firstLine="0"/>
        <w:jc w:val="both"/>
        <w:rPr>
          <w:color w:val="auto"/>
        </w:rPr>
      </w:pPr>
      <w:r>
        <w:rPr>
          <w:rFonts w:eastAsia="Times New Roman" w:cstheme="minorHAnsi"/>
          <w:b/>
          <w:color w:val="000000"/>
          <w:sz w:val="22"/>
          <w:szCs w:val="22"/>
          <w:lang w:eastAsia="fr-FR" w:bidi="ar-SA"/>
        </w:rPr>
        <w:t>Assiduité</w:t>
      </w:r>
    </w:p>
    <w:p w14:paraId="3D1F813F"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 xml:space="preserve">L’assiduité aux cours (TD et CM) et aux examens fait partie des obligations du cursus pour tout étudiant inscrit au régime général de la licence. L’attribution d’une note de contrôle continu est </w:t>
      </w:r>
      <w:r>
        <w:rPr>
          <w:rFonts w:eastAsia="Times New Roman" w:cstheme="minorHAnsi"/>
          <w:b/>
          <w:color w:val="000000"/>
          <w:sz w:val="22"/>
          <w:szCs w:val="22"/>
          <w:u w:val="single"/>
          <w:lang w:eastAsia="fr-FR" w:bidi="ar-SA"/>
        </w:rPr>
        <w:t>conditionnée</w:t>
      </w:r>
      <w:r>
        <w:rPr>
          <w:rFonts w:eastAsia="Times New Roman" w:cstheme="minorHAnsi"/>
          <w:color w:val="000000"/>
          <w:sz w:val="22"/>
          <w:szCs w:val="22"/>
          <w:lang w:eastAsia="fr-FR" w:bidi="ar-SA"/>
        </w:rPr>
        <w:t xml:space="preserve"> à l’assiduité de l’étudiant. La présence est obligatoire à toutes les séances des matières de travaux dirigés (TD) et aux cours magistraux (CM) qui sont évalués en Contrôle Continu. </w:t>
      </w:r>
    </w:p>
    <w:p w14:paraId="7CAE2925"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 xml:space="preserve">Toutes les absences doivent être justifiées. Pour toute absence, l’étudiant doit adresser au secrétariat le formulaire d’absence prévu à cet effet, accompagné d’un justificatif, dans un </w:t>
      </w:r>
      <w:r>
        <w:rPr>
          <w:rFonts w:eastAsia="Times New Roman" w:cstheme="minorHAnsi"/>
          <w:b/>
          <w:color w:val="000000"/>
          <w:sz w:val="22"/>
          <w:szCs w:val="22"/>
          <w:lang w:eastAsia="fr-FR" w:bidi="ar-SA"/>
        </w:rPr>
        <w:t>délai maximum de 8 jours</w:t>
      </w:r>
      <w:r>
        <w:rPr>
          <w:rFonts w:eastAsia="Times New Roman" w:cstheme="minorHAnsi"/>
          <w:color w:val="000000"/>
          <w:sz w:val="22"/>
          <w:szCs w:val="22"/>
          <w:lang w:eastAsia="fr-FR" w:bidi="ar-SA"/>
        </w:rPr>
        <w:t xml:space="preserve"> à partir du 1</w:t>
      </w:r>
      <w:r>
        <w:rPr>
          <w:rFonts w:eastAsia="Times New Roman" w:cstheme="minorHAnsi"/>
          <w:color w:val="000000"/>
          <w:sz w:val="22"/>
          <w:szCs w:val="22"/>
          <w:vertAlign w:val="superscript"/>
          <w:lang w:eastAsia="fr-FR" w:bidi="ar-SA"/>
        </w:rPr>
        <w:t>er</w:t>
      </w:r>
      <w:r>
        <w:rPr>
          <w:rFonts w:eastAsia="Times New Roman" w:cstheme="minorHAnsi"/>
          <w:color w:val="000000"/>
          <w:sz w:val="22"/>
          <w:szCs w:val="22"/>
          <w:lang w:eastAsia="fr-FR" w:bidi="ar-SA"/>
        </w:rPr>
        <w:t xml:space="preserve"> jour d’absence. Ces documents sont à transmettre :</w:t>
      </w:r>
    </w:p>
    <w:p w14:paraId="406D79C9"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Soit en version papier, dans la boîte aux lettres du secrétariat de licence LEA</w:t>
      </w:r>
    </w:p>
    <w:p w14:paraId="42E5EBE9"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 xml:space="preserve">Soit par messagerie électronique : </w:t>
      </w:r>
      <w:hyperlink r:id="rId12" w:tooltip="mailto:l1lea@univ-lyon3.fr" w:history="1">
        <w:r>
          <w:rPr>
            <w:rStyle w:val="Lienhypertexte"/>
            <w:rFonts w:ascii="Century Gothic" w:eastAsia="Calibri" w:hAnsi="Century Gothic" w:cstheme="minorHAnsi"/>
            <w:color w:val="000000"/>
            <w:sz w:val="22"/>
            <w:szCs w:val="22"/>
            <w:lang w:eastAsia="fr-FR" w:bidi="ar-SA"/>
          </w:rPr>
          <w:t>l1lea@univ-lyon3.fr</w:t>
        </w:r>
      </w:hyperlink>
      <w:r>
        <w:rPr>
          <w:rFonts w:ascii="Century Gothic" w:eastAsia="Calibri" w:hAnsi="Century Gothic" w:cstheme="minorHAnsi"/>
          <w:color w:val="000000"/>
          <w:sz w:val="22"/>
          <w:szCs w:val="22"/>
          <w:lang w:eastAsia="fr-FR" w:bidi="ar-SA"/>
        </w:rPr>
        <w:t xml:space="preserve"> – </w:t>
      </w:r>
      <w:hyperlink r:id="rId13" w:tooltip="mailto:l2lea@univ-lyon3.fr" w:history="1">
        <w:r>
          <w:rPr>
            <w:rStyle w:val="Lienhypertexte"/>
            <w:rFonts w:ascii="Century Gothic" w:eastAsia="Calibri" w:hAnsi="Century Gothic" w:cstheme="minorHAnsi"/>
            <w:color w:val="000000"/>
            <w:sz w:val="22"/>
            <w:szCs w:val="22"/>
            <w:lang w:eastAsia="fr-FR" w:bidi="ar-SA"/>
          </w:rPr>
          <w:t>l2lea@univ-lyon3.fr</w:t>
        </w:r>
      </w:hyperlink>
      <w:r>
        <w:rPr>
          <w:rFonts w:ascii="Century Gothic" w:eastAsia="Calibri" w:hAnsi="Century Gothic" w:cstheme="minorHAnsi"/>
          <w:color w:val="000000"/>
          <w:sz w:val="22"/>
          <w:szCs w:val="22"/>
          <w:lang w:eastAsia="fr-FR" w:bidi="ar-SA"/>
        </w:rPr>
        <w:t xml:space="preserve"> – </w:t>
      </w:r>
      <w:hyperlink r:id="rId14" w:tooltip="mailto:l3lea@univ-lyon3.fr" w:history="1">
        <w:r>
          <w:rPr>
            <w:rStyle w:val="Lienhypertexte"/>
            <w:rFonts w:ascii="Century Gothic" w:eastAsia="Calibri" w:hAnsi="Century Gothic" w:cstheme="minorHAnsi"/>
            <w:color w:val="000000"/>
            <w:sz w:val="22"/>
            <w:szCs w:val="22"/>
            <w:lang w:eastAsia="fr-FR" w:bidi="ar-SA"/>
          </w:rPr>
          <w:t>l3lea@univ-lyon3.fr</w:t>
        </w:r>
      </w:hyperlink>
    </w:p>
    <w:p w14:paraId="099825F6" w14:textId="77777777" w:rsidR="00304814" w:rsidRDefault="000633BC">
      <w:pPr>
        <w:pStyle w:val="Titre1"/>
        <w:spacing w:before="156" w:line="276" w:lineRule="auto"/>
        <w:jc w:val="both"/>
        <w:rPr>
          <w:color w:val="auto"/>
        </w:rPr>
      </w:pPr>
      <w:r>
        <w:rPr>
          <w:rFonts w:eastAsia="Times New Roman" w:cstheme="minorHAnsi"/>
          <w:b/>
          <w:color w:val="000000"/>
          <w:sz w:val="22"/>
          <w:szCs w:val="22"/>
          <w:u w:val="single"/>
          <w:lang w:eastAsia="fr-FR" w:bidi="ar-SA"/>
        </w:rPr>
        <w:t xml:space="preserve">Au-delà de ce délai, la justification ne sera pas recevable </w:t>
      </w:r>
      <w:r>
        <w:rPr>
          <w:rFonts w:eastAsia="Times New Roman" w:cstheme="minorHAnsi"/>
          <w:color w:val="000000"/>
          <w:sz w:val="22"/>
          <w:szCs w:val="22"/>
          <w:lang w:eastAsia="fr-FR" w:bidi="ar-SA"/>
        </w:rPr>
        <w:t>et l’absence sera considérée comme non justifiée.</w:t>
      </w:r>
    </w:p>
    <w:p w14:paraId="2CF4F974" w14:textId="77777777" w:rsidR="00304814" w:rsidRDefault="00304814">
      <w:pPr>
        <w:rPr>
          <w:rFonts w:ascii="Century Gothic" w:hAnsi="Century Gothic"/>
          <w:sz w:val="22"/>
          <w:szCs w:val="22"/>
          <w:lang w:eastAsia="fr-FR" w:bidi="ar-SA"/>
        </w:rPr>
      </w:pPr>
    </w:p>
    <w:p w14:paraId="4D129BA0" w14:textId="46081CF9" w:rsidR="00304814" w:rsidRDefault="000633BC">
      <w:pPr>
        <w:jc w:val="both"/>
        <w:rPr>
          <w:rFonts w:ascii="Century Gothic" w:eastAsia="Times New Roman" w:hAnsi="Century Gothic" w:cstheme="minorHAnsi"/>
          <w:color w:val="000000"/>
          <w:sz w:val="22"/>
          <w:szCs w:val="22"/>
          <w:lang w:eastAsia="fr-FR" w:bidi="ar-SA"/>
        </w:rPr>
      </w:pPr>
      <w:r w:rsidRPr="00561362">
        <w:rPr>
          <w:rFonts w:ascii="Century Gothic" w:eastAsia="Times New Roman" w:hAnsi="Century Gothic" w:cstheme="minorHAnsi"/>
          <w:color w:val="000000"/>
          <w:sz w:val="22"/>
          <w:szCs w:val="22"/>
          <w:lang w:eastAsia="fr-FR" w:bidi="ar-SA"/>
        </w:rPr>
        <w:t xml:space="preserve">Plusieurs absences non justifiées par semestre peuvent entraîner </w:t>
      </w:r>
      <w:r w:rsidRPr="00561362">
        <w:rPr>
          <w:rFonts w:ascii="Century Gothic" w:eastAsia="Times New Roman" w:hAnsi="Century Gothic" w:cstheme="minorHAnsi"/>
          <w:b/>
          <w:color w:val="000000"/>
          <w:sz w:val="22"/>
          <w:szCs w:val="22"/>
          <w:lang w:eastAsia="fr-FR" w:bidi="ar-SA"/>
        </w:rPr>
        <w:t>l’interdiction de se présenter aux examens terminaux et la non validation du contrôle continu</w:t>
      </w:r>
      <w:r w:rsidRPr="00561362">
        <w:rPr>
          <w:rFonts w:ascii="Century Gothic" w:eastAsia="Times New Roman" w:hAnsi="Century Gothic" w:cstheme="minorHAnsi"/>
          <w:color w:val="000000"/>
          <w:sz w:val="22"/>
          <w:szCs w:val="22"/>
          <w:lang w:eastAsia="fr-FR" w:bidi="ar-SA"/>
        </w:rPr>
        <w:t xml:space="preserve">. </w:t>
      </w:r>
    </w:p>
    <w:p w14:paraId="404C6668" w14:textId="0D37B5F4" w:rsidR="00561362" w:rsidRPr="00561362" w:rsidRDefault="00561362">
      <w:pPr>
        <w:jc w:val="both"/>
        <w:rPr>
          <w:rFonts w:ascii="Century Gothic" w:eastAsia="Times New Roman" w:hAnsi="Century Gothic" w:cstheme="minorHAnsi"/>
          <w:color w:val="000000"/>
          <w:sz w:val="22"/>
          <w:szCs w:val="22"/>
          <w:shd w:val="clear" w:color="auto" w:fill="FFFF00"/>
          <w:lang w:eastAsia="fr-FR" w:bidi="ar-SA"/>
        </w:rPr>
      </w:pPr>
      <w:r>
        <w:rPr>
          <w:rFonts w:ascii="Century Gothic" w:eastAsia="Times New Roman" w:hAnsi="Century Gothic" w:cstheme="minorHAnsi"/>
          <w:color w:val="000000"/>
          <w:sz w:val="22"/>
          <w:szCs w:val="22"/>
          <w:lang w:eastAsia="fr-FR" w:bidi="ar-SA"/>
        </w:rPr>
        <w:t>L’interdiction peut être actée sur présentation par l’enseignant des registres d’émargement, et au plus tard à l’issue de la huitième semaine de TD.</w:t>
      </w:r>
    </w:p>
    <w:p w14:paraId="68BA7EB6" w14:textId="77777777" w:rsidR="00304814" w:rsidRDefault="00304814">
      <w:pPr>
        <w:jc w:val="both"/>
        <w:rPr>
          <w:rFonts w:ascii="Century Gothic" w:eastAsia="Times New Roman" w:hAnsi="Century Gothic" w:cstheme="minorHAnsi"/>
          <w:color w:val="000000"/>
          <w:sz w:val="22"/>
          <w:szCs w:val="22"/>
          <w:lang w:eastAsia="fr-FR" w:bidi="ar-SA"/>
        </w:rPr>
      </w:pPr>
    </w:p>
    <w:p w14:paraId="559C0473" w14:textId="77777777" w:rsidR="00304814" w:rsidRDefault="000633BC">
      <w:pPr>
        <w:jc w:val="both"/>
        <w:rPr>
          <w:rFonts w:ascii="Century Gothic" w:hAnsi="Century Gothic"/>
        </w:rPr>
      </w:pPr>
      <w:r>
        <w:rPr>
          <w:rFonts w:ascii="Century Gothic" w:eastAsia="Times New Roman" w:hAnsi="Century Gothic" w:cstheme="minorHAnsi"/>
          <w:color w:val="000000"/>
          <w:sz w:val="22"/>
          <w:szCs w:val="22"/>
          <w:lang w:eastAsia="fr-FR" w:bidi="ar-SA"/>
        </w:rPr>
        <w:t>L’étudiant ne sera pas évalué pour la matière :  les résultats ne seront pas calculés (RNC) et le jury ne peut pas délibérer sur les résultats du semestre concerné.</w:t>
      </w:r>
      <w:r>
        <w:rPr>
          <w:rFonts w:ascii="Century Gothic" w:eastAsia="Times New Roman" w:hAnsi="Century Gothic" w:cs="Calibri"/>
          <w:color w:val="000000"/>
          <w:sz w:val="22"/>
          <w:szCs w:val="22"/>
          <w:lang w:eastAsia="fr-FR" w:bidi="ar-SA"/>
        </w:rPr>
        <w:t xml:space="preserve"> </w:t>
      </w:r>
    </w:p>
    <w:p w14:paraId="5D63A50A" w14:textId="77777777" w:rsidR="00304814" w:rsidRDefault="00304814">
      <w:pPr>
        <w:jc w:val="both"/>
        <w:rPr>
          <w:rFonts w:ascii="Century Gothic" w:eastAsia="Times New Roman" w:hAnsi="Century Gothic" w:cstheme="minorHAnsi"/>
          <w:sz w:val="22"/>
          <w:szCs w:val="22"/>
          <w:lang w:eastAsia="fr-FR" w:bidi="ar-SA"/>
        </w:rPr>
      </w:pPr>
    </w:p>
    <w:p w14:paraId="52BF54BC" w14:textId="77777777" w:rsidR="00304814" w:rsidRDefault="000633BC">
      <w:pPr>
        <w:rPr>
          <w:rFonts w:ascii="Century Gothic" w:hAnsi="Century Gothic"/>
        </w:rPr>
      </w:pPr>
      <w:r>
        <w:rPr>
          <w:rFonts w:ascii="Century Gothic" w:eastAsia="Times New Roman" w:hAnsi="Century Gothic" w:cstheme="minorHAnsi"/>
          <w:color w:val="000000"/>
          <w:sz w:val="22"/>
          <w:szCs w:val="22"/>
          <w:lang w:eastAsia="fr-FR" w:bidi="ar-SA"/>
        </w:rPr>
        <w:t xml:space="preserve">Pour les absences à des évaluations, </w:t>
      </w:r>
      <w:bookmarkStart w:id="0" w:name="_Hlk140736555"/>
      <w:r>
        <w:rPr>
          <w:rFonts w:ascii="Century Gothic" w:eastAsia="Times New Roman" w:hAnsi="Century Gothic" w:cstheme="minorHAnsi"/>
          <w:color w:val="000000"/>
          <w:sz w:val="22"/>
          <w:szCs w:val="22"/>
          <w:lang w:eastAsia="fr-FR" w:bidi="ar-SA"/>
        </w:rPr>
        <w:t>se reporter à l’alinéa III-Contrôle des connaissances</w:t>
      </w:r>
      <w:bookmarkEnd w:id="0"/>
    </w:p>
    <w:p w14:paraId="1122A3EA" w14:textId="77777777" w:rsidR="00304814" w:rsidRDefault="000633BC">
      <w:pPr>
        <w:pStyle w:val="Titre1"/>
        <w:spacing w:before="156" w:line="276" w:lineRule="auto"/>
        <w:jc w:val="both"/>
        <w:rPr>
          <w:color w:val="auto"/>
        </w:rPr>
      </w:pPr>
      <w:r>
        <w:rPr>
          <w:rFonts w:eastAsia="Times New Roman" w:cstheme="minorHAnsi"/>
          <w:b/>
          <w:color w:val="000000"/>
          <w:sz w:val="22"/>
          <w:szCs w:val="22"/>
          <w:lang w:eastAsia="fr-FR" w:bidi="ar-SA"/>
        </w:rPr>
        <w:t xml:space="preserve">Motifs pris en compte pour justifier une absence : </w:t>
      </w:r>
    </w:p>
    <w:p w14:paraId="78F705E5"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 xml:space="preserve">Maladie avec certificat médical </w:t>
      </w:r>
    </w:p>
    <w:p w14:paraId="37AA23BE"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lastRenderedPageBreak/>
        <w:t xml:space="preserve">Participation aux instances et aux commissions de l’établissement (CA, CFVU, CR, commission de discipline, conseil de composantes, conseil documentaire, conseil des sports, </w:t>
      </w:r>
      <w:r>
        <w:rPr>
          <w:rFonts w:ascii="Century Gothic" w:eastAsia="Calibri" w:hAnsi="Century Gothic" w:cstheme="minorHAnsi"/>
          <w:sz w:val="22"/>
          <w:szCs w:val="22"/>
          <w:lang w:eastAsia="fr-FR" w:bidi="ar-SA"/>
        </w:rPr>
        <w:t>formation spécialisée du CSAE, commission sociale et commission initiative du FSDIE, commission CVEC)</w:t>
      </w:r>
    </w:p>
    <w:p w14:paraId="152A0C1D"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Mariage ou PACS de l’étudiant (4 jours)</w:t>
      </w:r>
    </w:p>
    <w:p w14:paraId="091F7115"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Décès d’un proche : enfant (5 jours), conjoint (3 jours), du concubin ou du partenaire lié par un PACS, du père, de la mère, du beau-père, de la belle-mère, d’un frère ou d’une sœur (3 jours) ; d’un grand-parent (1 jour)</w:t>
      </w:r>
    </w:p>
    <w:p w14:paraId="1641DD1E"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Maternité, naissance</w:t>
      </w:r>
    </w:p>
    <w:p w14:paraId="77CC7AFF"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Garde d’enfant malade de moins de 16 ans avec certificat médical</w:t>
      </w:r>
    </w:p>
    <w:p w14:paraId="7A978431"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Concours de la Fonction publique</w:t>
      </w:r>
    </w:p>
    <w:p w14:paraId="21B739DF"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Passage du code ou du permis de conduire</w:t>
      </w:r>
    </w:p>
    <w:p w14:paraId="0D33F369"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Fêtes religieuses légales (conformément au calendrier des fêtes religieuses diffusé par l’établissement)</w:t>
      </w:r>
    </w:p>
    <w:p w14:paraId="1D0DBCFE"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Accidents de la vie avec constat de police à l’appui</w:t>
      </w:r>
    </w:p>
    <w:p w14:paraId="33181871"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Participation à des compétitions sportives « Lyon3 »</w:t>
      </w:r>
    </w:p>
    <w:p w14:paraId="3E6E7B6C"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Passage d’examen d’une autre composante de l’université Jean Moulin Lyon3</w:t>
      </w:r>
    </w:p>
    <w:p w14:paraId="2F81A5F1" w14:textId="77777777" w:rsidR="00304814" w:rsidRDefault="000633BC">
      <w:pPr>
        <w:pStyle w:val="Paragraphedeliste"/>
        <w:numPr>
          <w:ilvl w:val="0"/>
          <w:numId w:val="10"/>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Passage d’une certification (test SIM, TOEFL, TOEIC…) dans le cadre du cursus universitaire</w:t>
      </w:r>
    </w:p>
    <w:p w14:paraId="1BC7E1E0" w14:textId="77777777" w:rsidR="00304814" w:rsidRDefault="000633BC">
      <w:pPr>
        <w:pStyle w:val="Paragraphedeliste"/>
        <w:spacing w:before="156" w:line="276" w:lineRule="auto"/>
        <w:ind w:left="0"/>
        <w:contextualSpacing w:val="0"/>
        <w:jc w:val="both"/>
        <w:rPr>
          <w:rFonts w:ascii="Century Gothic" w:eastAsia="Calibri" w:hAnsi="Century Gothic" w:cstheme="minorHAnsi"/>
          <w:b/>
          <w:color w:val="000000"/>
          <w:sz w:val="22"/>
          <w:szCs w:val="22"/>
          <w:lang w:eastAsia="fr-FR" w:bidi="ar-SA"/>
        </w:rPr>
      </w:pPr>
      <w:r>
        <w:rPr>
          <w:rFonts w:ascii="Century Gothic" w:eastAsia="Calibri" w:hAnsi="Century Gothic" w:cstheme="minorHAnsi"/>
          <w:bCs/>
          <w:color w:val="000000"/>
          <w:sz w:val="22"/>
          <w:szCs w:val="22"/>
          <w:lang w:eastAsia="fr-FR" w:bidi="ar-SA"/>
        </w:rPr>
        <w:t>Cette liste n’est pas exclusive de cas particuliers donnant lieu à une justification dérogatoire par l’assesseur responsable de la formation.</w:t>
      </w:r>
    </w:p>
    <w:p w14:paraId="5E310140" w14:textId="77777777" w:rsidR="00304814" w:rsidRDefault="000633BC">
      <w:pPr>
        <w:pStyle w:val="Paragraphedeliste"/>
        <w:spacing w:before="156" w:line="276" w:lineRule="auto"/>
        <w:ind w:left="0"/>
        <w:contextualSpacing w:val="0"/>
        <w:jc w:val="both"/>
        <w:rPr>
          <w:rFonts w:ascii="Century Gothic" w:hAnsi="Century Gothic"/>
        </w:rPr>
      </w:pPr>
      <w:r>
        <w:rPr>
          <w:rFonts w:ascii="Century Gothic" w:eastAsia="Calibri" w:hAnsi="Century Gothic" w:cstheme="minorHAnsi"/>
          <w:b/>
          <w:color w:val="000000"/>
          <w:sz w:val="22"/>
          <w:szCs w:val="22"/>
          <w:lang w:eastAsia="fr-FR" w:bidi="ar-SA"/>
        </w:rPr>
        <w:t>Les justificatifs d’absence dus à un contrat de travail ne sont pas recevables sauf cas exceptionnel.</w:t>
      </w:r>
    </w:p>
    <w:p w14:paraId="1909DAE8" w14:textId="77777777" w:rsidR="00304814" w:rsidRDefault="000633BC">
      <w:pPr>
        <w:pStyle w:val="Paragraphedeliste"/>
        <w:spacing w:before="156" w:line="276" w:lineRule="auto"/>
        <w:ind w:left="0"/>
        <w:contextualSpacing w:val="0"/>
        <w:jc w:val="both"/>
        <w:rPr>
          <w:rFonts w:ascii="Century Gothic" w:hAnsi="Century Gothic"/>
        </w:rPr>
      </w:pPr>
      <w:r>
        <w:rPr>
          <w:rFonts w:ascii="Century Gothic" w:eastAsia="Calibri" w:hAnsi="Century Gothic" w:cstheme="minorHAnsi"/>
          <w:b/>
          <w:color w:val="000000"/>
          <w:sz w:val="22"/>
          <w:szCs w:val="22"/>
          <w:lang w:eastAsia="fr-FR" w:bidi="ar-SA"/>
        </w:rPr>
        <w:t>Assiduité pour les étudiants boursiers</w:t>
      </w:r>
      <w:r>
        <w:rPr>
          <w:rFonts w:ascii="Century Gothic" w:eastAsia="Calibri" w:hAnsi="Century Gothic" w:cstheme="minorHAnsi"/>
          <w:color w:val="000000"/>
          <w:sz w:val="22"/>
          <w:szCs w:val="22"/>
          <w:lang w:eastAsia="fr-FR" w:bidi="ar-SA"/>
        </w:rPr>
        <w:t> :</w:t>
      </w:r>
    </w:p>
    <w:p w14:paraId="2A1FA3EA" w14:textId="77777777" w:rsidR="00304814" w:rsidRDefault="000633BC">
      <w:pPr>
        <w:spacing w:before="156" w:line="276" w:lineRule="auto"/>
        <w:jc w:val="both"/>
        <w:rPr>
          <w:rFonts w:ascii="Century Gothic" w:hAnsi="Century Gothic"/>
        </w:rPr>
      </w:pPr>
      <w:bookmarkStart w:id="1" w:name="_Hlk140745787"/>
      <w:r>
        <w:rPr>
          <w:rFonts w:ascii="Century Gothic" w:eastAsia="Calibri" w:hAnsi="Century Gothic" w:cstheme="minorHAnsi"/>
          <w:color w:val="000000"/>
          <w:sz w:val="22"/>
          <w:szCs w:val="22"/>
          <w:lang w:bidi="ar-SA"/>
        </w:rPr>
        <w:t>Pour les étudiants boursiers sur critères sociaux, le versement de la bourse est subordonné à l’assiduité aux cours, contrôles continus et examens. L’assiduité aux cours et aux examens pour les étudiants boursiers fait donc l’objet d’un suivi et d’un contrôle par le CROUS auprès des services de scolarité de la Faculté. La non-assiduité peut conduire le CROUS à demander à l’étudiant le remboursement intégral ou partiel de l’aide perçue.</w:t>
      </w:r>
      <w:bookmarkEnd w:id="1"/>
    </w:p>
    <w:p w14:paraId="1AE0133D" w14:textId="77777777" w:rsidR="00304814" w:rsidRDefault="000633BC">
      <w:pPr>
        <w:pStyle w:val="Titre1"/>
        <w:numPr>
          <w:ilvl w:val="0"/>
          <w:numId w:val="13"/>
        </w:numPr>
        <w:spacing w:before="156" w:line="276" w:lineRule="auto"/>
        <w:ind w:left="0" w:firstLine="0"/>
        <w:jc w:val="both"/>
        <w:rPr>
          <w:color w:val="auto"/>
        </w:rPr>
      </w:pPr>
      <w:r>
        <w:rPr>
          <w:rFonts w:eastAsia="Times New Roman" w:cstheme="minorHAnsi"/>
          <w:b/>
          <w:color w:val="000000"/>
          <w:sz w:val="22"/>
          <w:szCs w:val="22"/>
          <w:lang w:eastAsia="fr-FR" w:bidi="ar-SA"/>
        </w:rPr>
        <w:t xml:space="preserve">Les Régimes d’Etudes </w:t>
      </w:r>
    </w:p>
    <w:p w14:paraId="214ECCBA"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Il existe deux régimes d’études :</w:t>
      </w:r>
    </w:p>
    <w:p w14:paraId="6710AC92"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lastRenderedPageBreak/>
        <w:t xml:space="preserve">- </w:t>
      </w:r>
      <w:r>
        <w:rPr>
          <w:rFonts w:ascii="Century Gothic" w:eastAsia="Times New Roman" w:hAnsi="Century Gothic" w:cstheme="minorHAnsi"/>
          <w:color w:val="000000"/>
          <w:sz w:val="22"/>
          <w:szCs w:val="22"/>
          <w:u w:val="single"/>
          <w:lang w:eastAsia="fr-FR" w:bidi="ar-SA"/>
        </w:rPr>
        <w:t>Le régime général</w:t>
      </w:r>
      <w:r>
        <w:rPr>
          <w:rFonts w:ascii="Century Gothic" w:eastAsia="Times New Roman" w:hAnsi="Century Gothic" w:cstheme="minorHAnsi"/>
          <w:color w:val="000000"/>
          <w:sz w:val="22"/>
          <w:szCs w:val="22"/>
          <w:lang w:eastAsia="fr-FR" w:bidi="ar-SA"/>
        </w:rPr>
        <w:t xml:space="preserve"> d’études s’applique à l’ensemble des étudiants, sauf pour ceux qui justifient d’une situation leur permettant de bénéficier à leur demande d’un régime spécial.</w:t>
      </w:r>
    </w:p>
    <w:p w14:paraId="05B9554E"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 xml:space="preserve"> – </w:t>
      </w:r>
      <w:r>
        <w:rPr>
          <w:rFonts w:eastAsia="Times New Roman" w:cstheme="minorHAnsi"/>
          <w:color w:val="000000"/>
          <w:sz w:val="22"/>
          <w:szCs w:val="22"/>
          <w:u w:val="single"/>
          <w:lang w:eastAsia="fr-FR" w:bidi="ar-SA"/>
        </w:rPr>
        <w:t>Le régime spécial</w:t>
      </w:r>
      <w:r>
        <w:rPr>
          <w:rFonts w:eastAsia="Times New Roman" w:cstheme="minorHAnsi"/>
          <w:color w:val="000000"/>
          <w:sz w:val="22"/>
          <w:szCs w:val="22"/>
          <w:lang w:eastAsia="fr-FR" w:bidi="ar-SA"/>
        </w:rPr>
        <w:t xml:space="preserve"> s’applique aux étudiants se trouvant dans l’impossibilité absolue de suivre une matière ou la totalité des enseignements du régime normal. Les étudiants doivent remplir une demande de dispense d’assiduité adressée au Doyen de la Faculté accompagnée des documents justifiant cette impossibilité dans </w:t>
      </w:r>
      <w:r>
        <w:rPr>
          <w:rFonts w:eastAsia="Times New Roman" w:cstheme="minorHAnsi"/>
          <w:b/>
          <w:color w:val="000000"/>
          <w:sz w:val="22"/>
          <w:szCs w:val="22"/>
          <w:u w:val="single"/>
          <w:lang w:eastAsia="fr-FR" w:bidi="ar-SA"/>
        </w:rPr>
        <w:t>un délai indiqué au début de chaque semestre</w:t>
      </w:r>
      <w:r>
        <w:rPr>
          <w:rFonts w:eastAsia="Times New Roman" w:cstheme="minorHAnsi"/>
          <w:color w:val="000000"/>
          <w:sz w:val="22"/>
          <w:szCs w:val="22"/>
          <w:lang w:eastAsia="fr-FR" w:bidi="ar-SA"/>
        </w:rPr>
        <w:t>. Le régime spécial s’applique</w:t>
      </w:r>
      <w:r>
        <w:rPr>
          <w:rFonts w:eastAsia="Times New Roman" w:cstheme="minorHAnsi"/>
          <w:b/>
          <w:color w:val="000000"/>
          <w:sz w:val="22"/>
          <w:szCs w:val="22"/>
          <w:lang w:eastAsia="fr-FR" w:bidi="ar-SA"/>
        </w:rPr>
        <w:t xml:space="preserve"> soit pour un </w:t>
      </w:r>
      <w:r>
        <w:rPr>
          <w:rFonts w:eastAsia="Times New Roman" w:cstheme="minorHAnsi"/>
          <w:b/>
          <w:color w:val="000000"/>
          <w:sz w:val="22"/>
          <w:szCs w:val="22"/>
          <w:u w:val="single"/>
          <w:lang w:eastAsia="fr-FR" w:bidi="ar-SA"/>
        </w:rPr>
        <w:t>semestre complet, c’est-à-dire pour toutes les matières du semestre, soit pour une ou plusieurs matières</w:t>
      </w:r>
      <w:r>
        <w:rPr>
          <w:rFonts w:eastAsia="Times New Roman" w:cstheme="minorHAnsi"/>
          <w:color w:val="000000"/>
          <w:sz w:val="22"/>
          <w:szCs w:val="22"/>
          <w:lang w:eastAsia="fr-FR" w:bidi="ar-SA"/>
        </w:rPr>
        <w:t>.</w:t>
      </w:r>
    </w:p>
    <w:p w14:paraId="320A32E8"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Cette autorisation de régime spécial est soumise à l’accord du Doyen, et concerne :</w:t>
      </w:r>
    </w:p>
    <w:p w14:paraId="4C4FB025" w14:textId="77777777" w:rsidR="00304814" w:rsidRDefault="000633BC">
      <w:pPr>
        <w:pStyle w:val="Titre1"/>
        <w:numPr>
          <w:ilvl w:val="0"/>
          <w:numId w:val="14"/>
        </w:numPr>
        <w:spacing w:before="156" w:line="276" w:lineRule="auto"/>
        <w:ind w:left="0" w:firstLine="0"/>
        <w:jc w:val="both"/>
        <w:rPr>
          <w:color w:val="auto"/>
        </w:rPr>
      </w:pPr>
      <w:r>
        <w:rPr>
          <w:rFonts w:eastAsia="Times New Roman" w:cstheme="minorHAnsi"/>
          <w:color w:val="000000"/>
          <w:sz w:val="22"/>
          <w:szCs w:val="22"/>
          <w:lang w:eastAsia="fr-FR" w:bidi="ar-SA"/>
        </w:rPr>
        <w:t>Les étudiants salariés qui justifient d’une activité professionnelle d’au moins 10 heures par semaine en moyenne ;</w:t>
      </w:r>
    </w:p>
    <w:p w14:paraId="28254852"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femmes enceintes ;</w:t>
      </w:r>
    </w:p>
    <w:p w14:paraId="39543334" w14:textId="77777777" w:rsidR="00304814" w:rsidRDefault="000633BC">
      <w:pPr>
        <w:pStyle w:val="Titre1"/>
        <w:numPr>
          <w:ilvl w:val="0"/>
          <w:numId w:val="14"/>
        </w:numPr>
        <w:spacing w:before="156" w:line="276" w:lineRule="auto"/>
        <w:ind w:left="0" w:firstLine="0"/>
        <w:jc w:val="both"/>
        <w:rPr>
          <w:color w:val="auto"/>
        </w:rPr>
      </w:pPr>
      <w:r>
        <w:rPr>
          <w:rFonts w:eastAsia="Times New Roman" w:cstheme="minorHAnsi"/>
          <w:color w:val="000000"/>
          <w:sz w:val="22"/>
          <w:szCs w:val="22"/>
          <w:lang w:eastAsia="fr-FR" w:bidi="ar-SA"/>
        </w:rPr>
        <w:t>Les étudiants chargées de famille ou considérés comme aidants familiaux ;</w:t>
      </w:r>
    </w:p>
    <w:p w14:paraId="6E3D1B51"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engagés dans plusieurs cursus ;</w:t>
      </w:r>
    </w:p>
    <w:p w14:paraId="394DF2EE"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en situation de handicap ;</w:t>
      </w:r>
    </w:p>
    <w:p w14:paraId="7E6D5BB7"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à besoins éducatifs particuliers ;</w:t>
      </w:r>
    </w:p>
    <w:p w14:paraId="446471B8"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en situation de longue maladie ;</w:t>
      </w:r>
    </w:p>
    <w:p w14:paraId="5C6B6B98"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entrepreneurs</w:t>
      </w:r>
    </w:p>
    <w:p w14:paraId="200B9890"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bénéficiant du statut d’artistes ou de sportifs de haut niveau</w:t>
      </w:r>
    </w:p>
    <w:p w14:paraId="77E886D4"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exerçant des responsabilités au sein du bureau d’une association</w:t>
      </w:r>
    </w:p>
    <w:p w14:paraId="2E896DE6"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accomplissant une activité militaire dans la réserve opérationnelle</w:t>
      </w:r>
    </w:p>
    <w:p w14:paraId="6949E632"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réalisant une mission dans le cadre du service civique ou un volontariat militaire</w:t>
      </w:r>
    </w:p>
    <w:p w14:paraId="5310FD9B" w14:textId="77777777" w:rsidR="00304814" w:rsidRDefault="000633BC">
      <w:pPr>
        <w:pStyle w:val="Paragraphedeliste"/>
        <w:numPr>
          <w:ilvl w:val="0"/>
          <w:numId w:val="14"/>
        </w:numPr>
        <w:spacing w:before="156" w:line="276" w:lineRule="auto"/>
        <w:ind w:left="0" w:firstLine="0"/>
        <w:contextualSpacing w:val="0"/>
        <w:jc w:val="both"/>
        <w:rPr>
          <w:rFonts w:ascii="Century Gothic" w:hAnsi="Century Gothic"/>
        </w:rPr>
      </w:pPr>
      <w:r>
        <w:rPr>
          <w:rFonts w:ascii="Century Gothic" w:eastAsia="Calibri" w:hAnsi="Century Gothic" w:cstheme="minorHAnsi"/>
          <w:color w:val="000000"/>
          <w:sz w:val="22"/>
          <w:szCs w:val="22"/>
          <w:lang w:eastAsia="fr-FR" w:bidi="ar-SA"/>
        </w:rPr>
        <w:t>Les étudiants élus dans les conseils des établissements et des centres régionaux des œuvres   universitaires et scolaires.</w:t>
      </w:r>
    </w:p>
    <w:p w14:paraId="4DDDFD4C"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Pour cas de force majeure dûment justifié, une demande de régime spécial peut être présentée au Doyen.</w:t>
      </w:r>
    </w:p>
    <w:p w14:paraId="584B2C37" w14:textId="77777777" w:rsidR="00304814" w:rsidRDefault="000633BC">
      <w:pPr>
        <w:pStyle w:val="Titre1"/>
        <w:spacing w:before="156" w:line="276" w:lineRule="auto"/>
        <w:jc w:val="both"/>
        <w:rPr>
          <w:color w:val="auto"/>
        </w:rPr>
      </w:pPr>
      <w:r>
        <w:rPr>
          <w:rFonts w:eastAsia="Times New Roman" w:cstheme="minorHAnsi"/>
          <w:b/>
          <w:i/>
          <w:color w:val="000000"/>
          <w:sz w:val="22"/>
          <w:szCs w:val="22"/>
          <w:lang w:eastAsia="fr-FR" w:bidi="ar-SA"/>
        </w:rPr>
        <w:t>Les étudiants qui finalisent leur inscription universitaire hors délais (15 jours après le début des TD) risquent de se voir basculer en régime spécial au semestre impair.</w:t>
      </w:r>
    </w:p>
    <w:p w14:paraId="56EC317D"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Les étudiants bénéficiant du régime spécial :</w:t>
      </w:r>
    </w:p>
    <w:p w14:paraId="3E337DC0" w14:textId="77777777" w:rsidR="00304814" w:rsidRDefault="000633BC">
      <w:pPr>
        <w:pStyle w:val="Titre1"/>
        <w:spacing w:before="156" w:line="276" w:lineRule="auto"/>
        <w:jc w:val="both"/>
        <w:rPr>
          <w:color w:val="auto"/>
        </w:rPr>
      </w:pPr>
      <w:r>
        <w:rPr>
          <w:rFonts w:eastAsia="Symbol" w:cs="Symbol"/>
          <w:color w:val="000000"/>
          <w:sz w:val="22"/>
          <w:szCs w:val="22"/>
          <w:lang w:eastAsia="fr-FR" w:bidi="ar-SA"/>
        </w:rPr>
        <w:t></w:t>
      </w:r>
      <w:r>
        <w:rPr>
          <w:rFonts w:eastAsia="Times New Roman" w:cstheme="minorHAnsi"/>
          <w:color w:val="000000"/>
          <w:sz w:val="22"/>
          <w:szCs w:val="22"/>
          <w:lang w:eastAsia="fr-FR" w:bidi="ar-SA"/>
        </w:rPr>
        <w:t xml:space="preserve"> sont dispensés de toute assiduité aux cours magistraux et travaux dirigés des matières pour lesquelles ils ont obtenu une DA pendant le semestre concerné ;</w:t>
      </w:r>
    </w:p>
    <w:p w14:paraId="586BF375" w14:textId="77777777" w:rsidR="00304814" w:rsidRDefault="000633BC">
      <w:pPr>
        <w:pStyle w:val="Titre1"/>
        <w:spacing w:before="156" w:line="276" w:lineRule="auto"/>
        <w:jc w:val="both"/>
        <w:rPr>
          <w:color w:val="auto"/>
        </w:rPr>
      </w:pPr>
      <w:r>
        <w:rPr>
          <w:rFonts w:eastAsia="Symbol" w:cs="Symbol"/>
          <w:color w:val="000000"/>
          <w:sz w:val="22"/>
          <w:szCs w:val="22"/>
          <w:lang w:eastAsia="fr-FR" w:bidi="ar-SA"/>
        </w:rPr>
        <w:lastRenderedPageBreak/>
        <w:t></w:t>
      </w:r>
      <w:r>
        <w:rPr>
          <w:rFonts w:eastAsia="Times New Roman" w:cstheme="minorHAnsi"/>
          <w:color w:val="000000"/>
          <w:sz w:val="22"/>
          <w:szCs w:val="22"/>
          <w:lang w:eastAsia="fr-FR" w:bidi="ar-SA"/>
        </w:rPr>
        <w:t xml:space="preserve"> n’obtiennent aucune note de contrôle continu dans les matières pour lesquelles ils ont obtenu une DA pendant le semestre concerné. Dans l’hypothèse où la matière ne comporte que du contrôle continu, ils doivent se présenter en fin de semestre à une épreuve écrite ou orale (EE/EO) spécifique afin de pouvoir obtenir une note dans la matière et valider les crédits correspondants. S’ils sont absents le jour de l’épreuve, ils doivent justifier leur absence auprès de la scolarité selon les modalités prévues pour pouvoir bénéficier d’une épreuve de remplacement (se reporter à l’alinéa III-Contrôle des connaissances).</w:t>
      </w:r>
    </w:p>
    <w:p w14:paraId="4067BEFF" w14:textId="77777777" w:rsidR="00304814" w:rsidRDefault="000633BC">
      <w:pPr>
        <w:pStyle w:val="Titre1"/>
        <w:spacing w:before="156" w:line="276" w:lineRule="auto"/>
        <w:jc w:val="both"/>
        <w:rPr>
          <w:color w:val="auto"/>
        </w:rPr>
      </w:pPr>
      <w:r>
        <w:rPr>
          <w:rFonts w:eastAsia="Symbol" w:cs="Symbol"/>
          <w:color w:val="000000"/>
          <w:sz w:val="22"/>
          <w:szCs w:val="22"/>
          <w:lang w:eastAsia="fr-FR" w:bidi="ar-SA"/>
        </w:rPr>
        <w:t></w:t>
      </w:r>
      <w:r>
        <w:rPr>
          <w:rFonts w:eastAsia="Times New Roman" w:cstheme="minorHAnsi"/>
          <w:color w:val="000000"/>
          <w:sz w:val="22"/>
          <w:szCs w:val="22"/>
          <w:lang w:eastAsia="fr-FR" w:bidi="ar-SA"/>
        </w:rPr>
        <w:t xml:space="preserve"> consultent le planning des examens sur leur intranet 15 jours avant les épreuves.</w:t>
      </w:r>
    </w:p>
    <w:p w14:paraId="67172143" w14:textId="77777777" w:rsidR="00304814" w:rsidRDefault="000633BC">
      <w:pPr>
        <w:spacing w:before="156" w:line="276" w:lineRule="auto"/>
        <w:jc w:val="both"/>
        <w:rPr>
          <w:rFonts w:ascii="Century Gothic" w:hAnsi="Century Gothic"/>
        </w:rPr>
      </w:pPr>
      <w:r>
        <w:rPr>
          <w:rFonts w:ascii="Century Gothic" w:eastAsia="Calibri" w:hAnsi="Century Gothic" w:cstheme="minorHAnsi"/>
          <w:b/>
          <w:color w:val="000000"/>
          <w:sz w:val="22"/>
          <w:szCs w:val="22"/>
          <w:lang w:bidi="ar-SA"/>
        </w:rPr>
        <w:t>Pour le cursus 4 ans, aucune dispense d’assiduité ne sera accordée pour les enseignements de la langue choisie (arabe, russe, chinois, polonais, portugais).</w:t>
      </w:r>
    </w:p>
    <w:p w14:paraId="7D64055E" w14:textId="77777777" w:rsidR="00304814" w:rsidRDefault="000633BC">
      <w:pPr>
        <w:pStyle w:val="Titre1"/>
        <w:numPr>
          <w:ilvl w:val="0"/>
          <w:numId w:val="13"/>
        </w:numPr>
        <w:spacing w:before="156" w:line="276" w:lineRule="auto"/>
        <w:ind w:left="0" w:firstLine="0"/>
        <w:jc w:val="both"/>
        <w:rPr>
          <w:color w:val="auto"/>
        </w:rPr>
      </w:pPr>
      <w:r>
        <w:rPr>
          <w:rFonts w:eastAsia="Times New Roman" w:cstheme="minorHAnsi"/>
          <w:b/>
          <w:color w:val="000000"/>
          <w:sz w:val="22"/>
          <w:szCs w:val="22"/>
          <w:lang w:eastAsia="fr-FR" w:bidi="ar-SA"/>
        </w:rPr>
        <w:t>Constitution des groupes de TD</w:t>
      </w:r>
    </w:p>
    <w:p w14:paraId="012ED4EC"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Les groupes de TD sont définis en début de semestre par le secrétariat qui est seul compétent pour en modifier la composition au début de chaque semestre suivant un délai indiqué.</w:t>
      </w:r>
    </w:p>
    <w:p w14:paraId="7CAB1941" w14:textId="77777777" w:rsidR="00304814" w:rsidRDefault="000633BC">
      <w:pPr>
        <w:pStyle w:val="Titre1"/>
        <w:spacing w:before="156" w:line="276" w:lineRule="auto"/>
        <w:jc w:val="both"/>
        <w:rPr>
          <w:color w:val="auto"/>
          <w:sz w:val="22"/>
          <w:szCs w:val="22"/>
        </w:rPr>
      </w:pPr>
      <w:r>
        <w:rPr>
          <w:rFonts w:eastAsia="Times New Roman" w:cstheme="minorHAnsi"/>
          <w:color w:val="000000"/>
          <w:sz w:val="22"/>
          <w:szCs w:val="22"/>
          <w:lang w:eastAsia="fr-FR" w:bidi="ar-SA"/>
        </w:rPr>
        <w:t>Les motifs susceptibles d’être invoqués pour changer de groupes de TD sont les mêmes que ceux relevant du régime spécial, auxquels s’ajoute l’inscription à d’autres formations au sein même de l’Université (ex : DU de Langues, double cursus, etc.).</w:t>
      </w:r>
    </w:p>
    <w:p w14:paraId="4AF4C34E" w14:textId="77777777" w:rsidR="00304814" w:rsidRDefault="000633BC">
      <w:pPr>
        <w:pStyle w:val="Titre1"/>
        <w:spacing w:before="156" w:line="276" w:lineRule="auto"/>
        <w:jc w:val="both"/>
        <w:rPr>
          <w:color w:val="auto"/>
        </w:rPr>
      </w:pPr>
      <w:r>
        <w:rPr>
          <w:rFonts w:eastAsia="Times New Roman" w:cstheme="minorHAnsi"/>
          <w:b/>
          <w:color w:val="000000"/>
          <w:sz w:val="22"/>
          <w:szCs w:val="22"/>
          <w:u w:val="single"/>
          <w:lang w:eastAsia="fr-FR" w:bidi="ar-SA"/>
        </w:rPr>
        <w:t>III – CONTRÔLE DES CONNAISSANCES ET DES COMPETENCES</w:t>
      </w:r>
    </w:p>
    <w:p w14:paraId="2AF573E9"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u w:val="single"/>
          <w:lang w:eastAsia="fr-FR" w:bidi="ar-SA"/>
        </w:rPr>
        <w:t>Chaque enseignement n’est dispensé qu’une fois par année universitaire et donne lieu à un contrôle des connaissances et des compétences.</w:t>
      </w:r>
    </w:p>
    <w:p w14:paraId="256C6CB1"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 xml:space="preserve">Le contrôle des connaissances et compétences est organisé </w:t>
      </w:r>
      <w:r>
        <w:rPr>
          <w:rFonts w:ascii="Century Gothic" w:eastAsia="Times New Roman" w:hAnsi="Century Gothic" w:cstheme="minorHAnsi"/>
          <w:b/>
          <w:color w:val="000000"/>
          <w:sz w:val="22"/>
          <w:szCs w:val="22"/>
          <w:lang w:eastAsia="fr-FR" w:bidi="ar-SA"/>
        </w:rPr>
        <w:t>sur une base semestrielle</w:t>
      </w:r>
      <w:r>
        <w:rPr>
          <w:rFonts w:ascii="Century Gothic" w:eastAsia="Times New Roman" w:hAnsi="Century Gothic" w:cstheme="minorHAnsi"/>
          <w:color w:val="000000"/>
          <w:sz w:val="22"/>
          <w:szCs w:val="22"/>
          <w:lang w:eastAsia="fr-FR" w:bidi="ar-SA"/>
        </w:rPr>
        <w:t>.</w:t>
      </w:r>
    </w:p>
    <w:p w14:paraId="4B927ADF"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Les modalités des épreuves sont communiquées aux étudiants en début d'année universitaire et font l'objet d'un tableau annexe au règlement qui est porté à leur connaissance au plus tard un mois après la rentrée universitaire. Toutefois il est rappelé que le dernier alinéa de l’article 14 de l’arrêté du 22 janvier 2014 dispose que « </w:t>
      </w:r>
      <w:r>
        <w:rPr>
          <w:rFonts w:ascii="Century Gothic" w:eastAsia="Times New Roman" w:hAnsi="Century Gothic" w:cstheme="minorHAnsi"/>
          <w:i/>
          <w:color w:val="000000"/>
          <w:sz w:val="22"/>
          <w:szCs w:val="22"/>
          <w:lang w:eastAsia="fr-FR" w:bidi="ar-SA"/>
        </w:rPr>
        <w:t>lorsqu’ils sont confrontés à des situations exceptionnelles affectant le déroulement normal des examens, les établissements peuvent adopter les modalités d’évaluation en garantissant la qualité des diplômes délivrés, notamment en recourant aux usages du numérique</w:t>
      </w:r>
      <w:r>
        <w:rPr>
          <w:rFonts w:ascii="Century Gothic" w:eastAsia="Times New Roman" w:hAnsi="Century Gothic" w:cstheme="minorHAnsi"/>
          <w:color w:val="000000"/>
          <w:sz w:val="22"/>
          <w:szCs w:val="22"/>
          <w:lang w:eastAsia="fr-FR" w:bidi="ar-SA"/>
        </w:rPr>
        <w:t> ».</w:t>
      </w:r>
    </w:p>
    <w:p w14:paraId="4D809C2C"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Les enseignements d’une matière peuvent être organisés sous forme de cours magistraux (CM), de travaux dirigés (TD) ou de la combinaison des deux modes d’enseignement. Chaque matière peut être évaluée soit en Contrôle Continu (C.C.) soit par le biais d’Examens Terminaux écrits ou oraux (T.E. / T.O.). </w:t>
      </w:r>
    </w:p>
    <w:p w14:paraId="59F411AF" w14:textId="77777777" w:rsidR="00304814" w:rsidRDefault="000633BC">
      <w:pPr>
        <w:spacing w:before="156" w:line="276" w:lineRule="auto"/>
        <w:jc w:val="both"/>
        <w:rPr>
          <w:rFonts w:ascii="Century Gothic" w:hAnsi="Century Gothic"/>
        </w:rPr>
      </w:pPr>
      <w:r>
        <w:rPr>
          <w:rFonts w:ascii="Century Gothic" w:eastAsia="Calibri" w:hAnsi="Century Gothic" w:cstheme="minorHAnsi"/>
          <w:b/>
          <w:bCs/>
          <w:color w:val="000000"/>
          <w:sz w:val="22"/>
          <w:szCs w:val="22"/>
          <w:u w:val="single"/>
          <w:lang w:bidi="ar-SA"/>
        </w:rPr>
        <w:t>Glossaire</w:t>
      </w:r>
      <w:r>
        <w:rPr>
          <w:rFonts w:ascii="Century Gothic" w:eastAsia="Calibri" w:hAnsi="Century Gothic" w:cstheme="minorHAnsi"/>
          <w:color w:val="000000"/>
          <w:sz w:val="22"/>
          <w:szCs w:val="22"/>
          <w:lang w:bidi="ar-SA"/>
        </w:rPr>
        <w:t> :</w:t>
      </w:r>
    </w:p>
    <w:p w14:paraId="03574E47" w14:textId="77777777" w:rsidR="00304814" w:rsidRDefault="000633BC">
      <w:pPr>
        <w:numPr>
          <w:ilvl w:val="0"/>
          <w:numId w:val="15"/>
        </w:numPr>
        <w:spacing w:before="156" w:line="276" w:lineRule="auto"/>
        <w:ind w:left="0" w:firstLine="0"/>
        <w:jc w:val="both"/>
        <w:rPr>
          <w:rFonts w:ascii="Century Gothic" w:hAnsi="Century Gothic"/>
        </w:rPr>
      </w:pPr>
      <w:r>
        <w:rPr>
          <w:rFonts w:ascii="Century Gothic" w:eastAsia="Calibri" w:hAnsi="Century Gothic" w:cstheme="minorHAnsi"/>
          <w:color w:val="000000"/>
          <w:sz w:val="22"/>
          <w:szCs w:val="22"/>
          <w:lang w:bidi="ar-SA"/>
        </w:rPr>
        <w:lastRenderedPageBreak/>
        <w:t xml:space="preserve">T.D. : </w:t>
      </w:r>
      <w:bookmarkStart w:id="2" w:name="_Hlk140680344"/>
      <w:r>
        <w:rPr>
          <w:rFonts w:ascii="Century Gothic" w:eastAsia="Calibri" w:hAnsi="Century Gothic" w:cstheme="minorHAnsi"/>
          <w:color w:val="000000"/>
          <w:sz w:val="22"/>
          <w:szCs w:val="22"/>
          <w:lang w:bidi="ar-SA"/>
        </w:rPr>
        <w:t>la matière est évaluée dans le cadre du cours. La note globale est le résultat d’une moyenne d’au moins deux évaluations organisées durant le semestre</w:t>
      </w:r>
      <w:bookmarkEnd w:id="2"/>
      <w:r>
        <w:rPr>
          <w:rFonts w:ascii="Century Gothic" w:eastAsia="Calibri" w:hAnsi="Century Gothic" w:cstheme="minorHAnsi"/>
          <w:color w:val="000000"/>
          <w:sz w:val="22"/>
          <w:szCs w:val="22"/>
          <w:lang w:bidi="ar-SA"/>
        </w:rPr>
        <w:t xml:space="preserve"> par l’enseignant.  </w:t>
      </w:r>
    </w:p>
    <w:p w14:paraId="4762BC41" w14:textId="77777777" w:rsidR="00304814" w:rsidRDefault="000633BC">
      <w:pPr>
        <w:numPr>
          <w:ilvl w:val="0"/>
          <w:numId w:val="15"/>
        </w:numPr>
        <w:spacing w:before="156" w:line="276" w:lineRule="auto"/>
        <w:ind w:left="0" w:firstLine="0"/>
        <w:jc w:val="both"/>
        <w:rPr>
          <w:rFonts w:ascii="Century Gothic" w:hAnsi="Century Gothic"/>
        </w:rPr>
      </w:pPr>
      <w:r>
        <w:rPr>
          <w:rFonts w:ascii="Century Gothic" w:eastAsia="Calibri" w:hAnsi="Century Gothic" w:cstheme="minorHAnsi"/>
          <w:color w:val="000000"/>
          <w:sz w:val="22"/>
          <w:szCs w:val="22"/>
          <w:lang w:bidi="ar-SA"/>
        </w:rPr>
        <w:t xml:space="preserve">I.E. (Interrogation écrite) : </w:t>
      </w:r>
      <w:bookmarkStart w:id="3" w:name="_Hlk140680137"/>
      <w:r>
        <w:rPr>
          <w:rFonts w:ascii="Century Gothic" w:eastAsia="Calibri" w:hAnsi="Century Gothic" w:cstheme="minorHAnsi"/>
          <w:color w:val="000000"/>
          <w:sz w:val="22"/>
          <w:szCs w:val="22"/>
          <w:lang w:bidi="ar-SA"/>
        </w:rPr>
        <w:t xml:space="preserve">épreuve de contrôle continu qui est </w:t>
      </w:r>
      <w:bookmarkStart w:id="4" w:name="_Hlk140680623"/>
      <w:r>
        <w:rPr>
          <w:rFonts w:ascii="Century Gothic" w:eastAsia="Calibri" w:hAnsi="Century Gothic" w:cstheme="minorHAnsi"/>
          <w:color w:val="000000"/>
          <w:sz w:val="22"/>
          <w:szCs w:val="22"/>
          <w:lang w:bidi="ar-SA"/>
        </w:rPr>
        <w:t>organisée au cours du semestre, en dehors des séances de cours.</w:t>
      </w:r>
      <w:bookmarkEnd w:id="3"/>
      <w:bookmarkEnd w:id="4"/>
    </w:p>
    <w:p w14:paraId="31DCE7E0" w14:textId="77777777" w:rsidR="00304814" w:rsidRDefault="000633BC">
      <w:pPr>
        <w:numPr>
          <w:ilvl w:val="0"/>
          <w:numId w:val="15"/>
        </w:numPr>
        <w:spacing w:before="156" w:line="276" w:lineRule="auto"/>
        <w:ind w:left="0" w:firstLine="0"/>
        <w:jc w:val="both"/>
        <w:rPr>
          <w:rFonts w:ascii="Century Gothic" w:hAnsi="Century Gothic"/>
        </w:rPr>
      </w:pPr>
      <w:r>
        <w:rPr>
          <w:rFonts w:ascii="Century Gothic" w:eastAsia="Calibri" w:hAnsi="Century Gothic" w:cstheme="minorHAnsi"/>
          <w:color w:val="000000"/>
          <w:sz w:val="22"/>
          <w:szCs w:val="22"/>
          <w:lang w:bidi="ar-SA"/>
        </w:rPr>
        <w:t xml:space="preserve">E.E. / E.O. (Epreuve écrite / orale) : épreuve de contrôle continu qui est </w:t>
      </w:r>
      <w:bookmarkStart w:id="5" w:name="_Hlk140680564"/>
      <w:r>
        <w:rPr>
          <w:rFonts w:ascii="Century Gothic" w:eastAsia="Calibri" w:hAnsi="Century Gothic" w:cstheme="minorHAnsi"/>
          <w:color w:val="000000"/>
          <w:sz w:val="22"/>
          <w:szCs w:val="22"/>
          <w:lang w:bidi="ar-SA"/>
        </w:rPr>
        <w:t>organisée à la fin du semestre, pendant la période banalisée des examens.</w:t>
      </w:r>
      <w:bookmarkEnd w:id="5"/>
    </w:p>
    <w:p w14:paraId="02B84330" w14:textId="77777777" w:rsidR="00304814" w:rsidRDefault="000633BC">
      <w:pPr>
        <w:numPr>
          <w:ilvl w:val="0"/>
          <w:numId w:val="15"/>
        </w:numPr>
        <w:spacing w:before="156" w:line="276" w:lineRule="auto"/>
        <w:ind w:left="0" w:firstLine="0"/>
        <w:jc w:val="both"/>
        <w:rPr>
          <w:rFonts w:ascii="Century Gothic" w:hAnsi="Century Gothic"/>
        </w:rPr>
      </w:pPr>
      <w:r>
        <w:rPr>
          <w:rFonts w:ascii="Century Gothic" w:eastAsia="Calibri" w:hAnsi="Century Gothic" w:cstheme="minorHAnsi"/>
          <w:color w:val="000000"/>
          <w:sz w:val="22"/>
          <w:szCs w:val="22"/>
          <w:lang w:bidi="ar-SA"/>
        </w:rPr>
        <w:t>T.E. / T.O. (Examen Terminal écrit / oral) : examen terminal organisé pendant la période banalisée des examens à la fin de chaque semestre et qui ouvre droit à la seconde chance organisée en fin d’année universitaire.</w:t>
      </w:r>
    </w:p>
    <w:p w14:paraId="71F62E80" w14:textId="77777777" w:rsidR="00304814" w:rsidRDefault="000633BC">
      <w:pPr>
        <w:pStyle w:val="Paragraphedeliste"/>
        <w:numPr>
          <w:ilvl w:val="0"/>
          <w:numId w:val="16"/>
        </w:numPr>
        <w:spacing w:before="156" w:line="276" w:lineRule="auto"/>
        <w:ind w:left="0" w:firstLine="0"/>
        <w:contextualSpacing w:val="0"/>
        <w:jc w:val="both"/>
        <w:rPr>
          <w:rFonts w:ascii="Century Gothic" w:hAnsi="Century Gothic"/>
        </w:rPr>
      </w:pPr>
      <w:r>
        <w:rPr>
          <w:rFonts w:ascii="Century Gothic" w:eastAsiaTheme="minorHAnsi" w:hAnsi="Century Gothic" w:cstheme="minorHAnsi"/>
          <w:b/>
          <w:bCs/>
          <w:iCs/>
          <w:color w:val="000000"/>
          <w:sz w:val="22"/>
          <w:szCs w:val="22"/>
          <w:lang w:bidi="ar-SA"/>
        </w:rPr>
        <w:t>Contrôle Continu</w:t>
      </w:r>
    </w:p>
    <w:p w14:paraId="0C62C8D6" w14:textId="77777777" w:rsidR="00304814" w:rsidRDefault="000633BC">
      <w:pPr>
        <w:spacing w:before="156" w:line="276" w:lineRule="auto"/>
        <w:jc w:val="both"/>
        <w:rPr>
          <w:rFonts w:ascii="Century Gothic" w:hAnsi="Century Gothic"/>
        </w:rPr>
      </w:pPr>
      <w:r>
        <w:rPr>
          <w:rFonts w:ascii="Century Gothic" w:eastAsia="Calibri" w:hAnsi="Century Gothic" w:cstheme="minorHAnsi"/>
          <w:b/>
          <w:bCs/>
          <w:color w:val="000000"/>
          <w:sz w:val="22"/>
          <w:szCs w:val="22"/>
          <w:lang w:bidi="ar-SA"/>
        </w:rPr>
        <w:t>L’attribution d’une note de Contrôle Continu est conditionnée à l’assiduité de l’étudiant</w:t>
      </w:r>
      <w:r>
        <w:rPr>
          <w:rFonts w:ascii="Century Gothic" w:eastAsia="Calibri" w:hAnsi="Century Gothic" w:cstheme="minorHAnsi"/>
          <w:color w:val="000000"/>
          <w:sz w:val="22"/>
          <w:szCs w:val="22"/>
          <w:lang w:bidi="ar-SA"/>
        </w:rPr>
        <w:t>. La présence est obligatoire à toutes les séances des matières de travaux dirigés (TD) et aux cours magistraux (CM) qui sont évalués en Contrôle Continu.</w:t>
      </w:r>
    </w:p>
    <w:p w14:paraId="44BF662D"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Toute matière (TD et/ou CM) évaluée en Contrôle Continu doit bénéficier d’au moins deux évaluations. Le contrôle continu peut être composé de :</w:t>
      </w:r>
    </w:p>
    <w:p w14:paraId="7DBF9B2B" w14:textId="77777777" w:rsidR="00304814" w:rsidRDefault="000633BC">
      <w:pPr>
        <w:numPr>
          <w:ilvl w:val="0"/>
          <w:numId w:val="17"/>
        </w:numPr>
        <w:spacing w:before="156" w:line="276" w:lineRule="auto"/>
        <w:ind w:left="0" w:firstLine="0"/>
        <w:jc w:val="both"/>
        <w:rPr>
          <w:rFonts w:ascii="Century Gothic" w:hAnsi="Century Gothic"/>
        </w:rPr>
      </w:pPr>
      <w:r>
        <w:rPr>
          <w:rFonts w:ascii="Century Gothic" w:eastAsia="Calibri" w:hAnsi="Century Gothic" w:cstheme="minorHAnsi"/>
          <w:color w:val="000000"/>
          <w:sz w:val="22"/>
          <w:szCs w:val="22"/>
          <w:lang w:bidi="ar-SA"/>
        </w:rPr>
        <w:t xml:space="preserve">T.D. : </w:t>
      </w:r>
      <w:bookmarkStart w:id="6" w:name="_Hlk140680393"/>
      <w:r>
        <w:rPr>
          <w:rFonts w:ascii="Century Gothic" w:eastAsia="Calibri" w:hAnsi="Century Gothic" w:cstheme="minorHAnsi"/>
          <w:color w:val="000000"/>
          <w:sz w:val="22"/>
          <w:szCs w:val="22"/>
          <w:lang w:bidi="ar-SA"/>
        </w:rPr>
        <w:t>la matière est évaluée dans le cadre du cours par le biais de deux évaluations au moins, organisées durant le semestre</w:t>
      </w:r>
      <w:bookmarkEnd w:id="6"/>
      <w:r>
        <w:rPr>
          <w:rFonts w:ascii="Century Gothic" w:eastAsia="Calibri" w:hAnsi="Century Gothic" w:cstheme="minorHAnsi"/>
          <w:color w:val="000000"/>
          <w:sz w:val="22"/>
          <w:szCs w:val="22"/>
          <w:lang w:bidi="ar-SA"/>
        </w:rPr>
        <w:t xml:space="preserve"> par l’enseignant.</w:t>
      </w:r>
    </w:p>
    <w:p w14:paraId="3AB0C41F" w14:textId="77777777" w:rsidR="00304814" w:rsidRDefault="000633BC">
      <w:pPr>
        <w:numPr>
          <w:ilvl w:val="0"/>
          <w:numId w:val="17"/>
        </w:numPr>
        <w:spacing w:before="156" w:line="276" w:lineRule="auto"/>
        <w:ind w:left="0" w:firstLine="0"/>
        <w:jc w:val="both"/>
        <w:rPr>
          <w:rFonts w:ascii="Century Gothic" w:hAnsi="Century Gothic"/>
        </w:rPr>
      </w:pPr>
      <w:r>
        <w:rPr>
          <w:rFonts w:ascii="Century Gothic" w:eastAsia="Calibri" w:hAnsi="Century Gothic" w:cstheme="minorHAnsi"/>
          <w:color w:val="000000"/>
          <w:sz w:val="22"/>
          <w:szCs w:val="22"/>
          <w:lang w:bidi="ar-SA"/>
        </w:rPr>
        <w:t xml:space="preserve">T.D. + E.E./E.O. : la </w:t>
      </w:r>
      <w:bookmarkStart w:id="7" w:name="_Hlk140680583"/>
      <w:r>
        <w:rPr>
          <w:rFonts w:ascii="Century Gothic" w:eastAsia="Calibri" w:hAnsi="Century Gothic" w:cstheme="minorHAnsi"/>
          <w:color w:val="000000"/>
          <w:sz w:val="22"/>
          <w:szCs w:val="22"/>
          <w:lang w:bidi="ar-SA"/>
        </w:rPr>
        <w:t>matière est évaluée grâce à une note au moins obtenue dans le cadre du cours durant le semestre + une note obtenue lors de l’épreuve (écrite ou orale) organisée à la fin du semestre, pendant la période banalisée des examens.</w:t>
      </w:r>
      <w:bookmarkEnd w:id="7"/>
    </w:p>
    <w:p w14:paraId="2A60AAB6" w14:textId="77777777" w:rsidR="00304814" w:rsidRDefault="000633BC">
      <w:pPr>
        <w:numPr>
          <w:ilvl w:val="0"/>
          <w:numId w:val="17"/>
        </w:numPr>
        <w:spacing w:before="156" w:line="276" w:lineRule="auto"/>
        <w:ind w:left="0" w:firstLine="0"/>
        <w:jc w:val="both"/>
        <w:rPr>
          <w:rFonts w:ascii="Century Gothic" w:hAnsi="Century Gothic"/>
        </w:rPr>
      </w:pPr>
      <w:r>
        <w:rPr>
          <w:rFonts w:ascii="Century Gothic" w:eastAsia="Calibri" w:hAnsi="Century Gothic" w:cstheme="minorHAnsi"/>
          <w:color w:val="000000"/>
          <w:sz w:val="22"/>
          <w:szCs w:val="22"/>
          <w:lang w:bidi="ar-SA"/>
        </w:rPr>
        <w:t>I.E. + E.E./E.O. : la matière est évaluée grâce à la note obtenue lors de l’interrogation écrite organisée au cours du semestre (en dehors des séances de cours) + une note obtenue lors de l’épreuve (écrite ou orale) organisée à la fin du semestre, pendant la période banalisée des examens.</w:t>
      </w:r>
    </w:p>
    <w:p w14:paraId="5981CC9A"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Pour les matières évaluées par plusieurs types d’examens (TD+EE/EO ou IE+EE/EO), une seule note au minimum dans chaque type d’évaluation est requise (par exemple : une note en TD + une note en EE).</w:t>
      </w:r>
    </w:p>
    <w:p w14:paraId="63930A88"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Dans tous les cas, la note globale est calculée en tenant compte des coefficients affectés à chaque type d’évaluation. Si cette note est égale à au moins la moyenne, elle entraîne l’attribution de l’ensemble des crédits européens correspondants.</w:t>
      </w:r>
    </w:p>
    <w:p w14:paraId="1B07F467" w14:textId="77777777" w:rsidR="00304814" w:rsidRDefault="000633BC">
      <w:pPr>
        <w:spacing w:before="156" w:line="276" w:lineRule="auto"/>
        <w:jc w:val="both"/>
        <w:rPr>
          <w:rFonts w:ascii="Century Gothic" w:eastAsia="Calibri" w:hAnsi="Century Gothic" w:cstheme="minorHAnsi"/>
          <w:color w:val="000000"/>
          <w:sz w:val="22"/>
          <w:szCs w:val="22"/>
          <w:lang w:bidi="ar-SA"/>
        </w:rPr>
      </w:pPr>
      <w:r>
        <w:rPr>
          <w:rFonts w:ascii="Century Gothic" w:eastAsia="Calibri" w:hAnsi="Century Gothic" w:cstheme="minorHAnsi"/>
          <w:color w:val="000000"/>
          <w:sz w:val="22"/>
          <w:szCs w:val="22"/>
          <w:lang w:bidi="ar-SA"/>
        </w:rPr>
        <w:t>Lorsque l’évaluation n’a pas lieu pendant le cours (I.E. et E.E./E.O.), la date de l’évaluation doit être annoncée au moins 15 jours à l’avance.</w:t>
      </w:r>
    </w:p>
    <w:p w14:paraId="1B37C399" w14:textId="77777777" w:rsidR="00304814" w:rsidRDefault="000633BC">
      <w:pPr>
        <w:spacing w:before="156" w:line="276" w:lineRule="auto"/>
        <w:jc w:val="both"/>
        <w:rPr>
          <w:rFonts w:ascii="Century Gothic" w:eastAsia="Calibri" w:hAnsi="Century Gothic" w:cstheme="minorHAnsi"/>
          <w:color w:val="000000"/>
          <w:sz w:val="22"/>
          <w:szCs w:val="22"/>
          <w:lang w:bidi="ar-SA"/>
        </w:rPr>
      </w:pPr>
      <w:r>
        <w:rPr>
          <w:rFonts w:ascii="Century Gothic" w:eastAsia="Calibri" w:hAnsi="Century Gothic" w:cstheme="minorHAnsi"/>
          <w:color w:val="000000"/>
          <w:sz w:val="22"/>
          <w:szCs w:val="22"/>
          <w:lang w:bidi="ar-SA"/>
        </w:rPr>
        <w:t xml:space="preserve">L’évaluation d’une matière en Contrôle Continu, dans la mesure où elle suppose toujours l’organisation de deux épreuves, intègre déjà l’accès à une seconde chance. Les matières </w:t>
      </w:r>
      <w:r>
        <w:rPr>
          <w:rFonts w:ascii="Century Gothic" w:eastAsia="Calibri" w:hAnsi="Century Gothic" w:cstheme="minorHAnsi"/>
          <w:color w:val="000000"/>
          <w:sz w:val="22"/>
          <w:szCs w:val="22"/>
          <w:lang w:bidi="ar-SA"/>
        </w:rPr>
        <w:lastRenderedPageBreak/>
        <w:t>évaluées en contrôle continu n’ouvrent donc pas droit aux épreuves spécifiques décrites sous le point C, quelle que soit la note figurant au titre de cette matière dans le relevé de notes de l’étudiant.</w:t>
      </w:r>
    </w:p>
    <w:p w14:paraId="4557968E" w14:textId="77777777" w:rsidR="00304814" w:rsidRDefault="000633BC">
      <w:pPr>
        <w:pStyle w:val="Paragraphedeliste"/>
        <w:numPr>
          <w:ilvl w:val="0"/>
          <w:numId w:val="16"/>
        </w:numPr>
        <w:spacing w:before="156" w:line="276" w:lineRule="auto"/>
        <w:ind w:left="0" w:firstLine="0"/>
        <w:contextualSpacing w:val="0"/>
        <w:jc w:val="both"/>
        <w:rPr>
          <w:rFonts w:ascii="Century Gothic" w:hAnsi="Century Gothic"/>
        </w:rPr>
      </w:pPr>
      <w:r>
        <w:rPr>
          <w:rFonts w:ascii="Century Gothic" w:eastAsia="Times New Roman" w:hAnsi="Century Gothic" w:cstheme="minorHAnsi"/>
          <w:b/>
          <w:color w:val="000000"/>
          <w:sz w:val="22"/>
          <w:szCs w:val="22"/>
          <w:lang w:eastAsia="fr-FR" w:bidi="ar-SA"/>
        </w:rPr>
        <w:t>Examens Terminaux </w:t>
      </w:r>
    </w:p>
    <w:p w14:paraId="4C37947C"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Toute matière (TD et/ou CM) peut être évaluée par le biais d’un examen terminal. Les terminaux écrits (T.E.) et les terminaux oraux (T.O.) sont organisés exclusivement pendant la période banalisée des examens à la fin de chaque semestre de cours, définie par le calendrier universitaire. L’absence à un examen terminal de fin de semestre vaut défaillance de l’étudiant. Dans ce cas, le jury ne peut délibérer sur les résultats de l’intéressé, qui ne sont pas calculés (RNC).</w:t>
      </w:r>
    </w:p>
    <w:p w14:paraId="0B483D28"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Les examens terminaux font l’objet d’une première session et donnent droit à une « seconde chance » qui se déroule exclusivement à la fin de l’année universitaire. </w:t>
      </w:r>
    </w:p>
    <w:p w14:paraId="6D5ECE6B"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Les modalités d’organisation des examens terminaux écrits garantissent l’anonymat des copies.</w:t>
      </w:r>
    </w:p>
    <w:p w14:paraId="6921C31F"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Les étudiants sont informés par voie d’affichage et par une publication sur Net3 des dates et des modalités des examens terminaux au moins 15 jours avant le début de la période banalisée des examens terminaux de session 1 et de seconde chance.</w:t>
      </w:r>
    </w:p>
    <w:p w14:paraId="4F477DF6" w14:textId="77777777" w:rsidR="00304814" w:rsidRDefault="000633BC">
      <w:pPr>
        <w:pStyle w:val="Paragraphedeliste"/>
        <w:numPr>
          <w:ilvl w:val="0"/>
          <w:numId w:val="16"/>
        </w:numPr>
        <w:spacing w:before="156" w:line="276" w:lineRule="auto"/>
        <w:ind w:left="0" w:firstLine="0"/>
        <w:contextualSpacing w:val="0"/>
        <w:jc w:val="both"/>
        <w:rPr>
          <w:rFonts w:ascii="Century Gothic" w:hAnsi="Century Gothic"/>
        </w:rPr>
      </w:pPr>
      <w:r>
        <w:rPr>
          <w:rFonts w:ascii="Century Gothic" w:eastAsia="Times New Roman" w:hAnsi="Century Gothic" w:cstheme="minorHAnsi"/>
          <w:b/>
          <w:color w:val="000000"/>
          <w:sz w:val="22"/>
          <w:szCs w:val="22"/>
          <w:lang w:eastAsia="fr-FR" w:bidi="ar-SA"/>
        </w:rPr>
        <w:t>Epreuves de seconde chance </w:t>
      </w:r>
    </w:p>
    <w:p w14:paraId="04B83052" w14:textId="77777777" w:rsidR="00304814" w:rsidRDefault="000633BC">
      <w:pPr>
        <w:pStyle w:val="Titre2MCCC"/>
        <w:widowControl w:val="0"/>
        <w:numPr>
          <w:ilvl w:val="0"/>
          <w:numId w:val="0"/>
        </w:numPr>
        <w:ind w:left="501"/>
        <w:rPr>
          <w:rFonts w:ascii="Century Gothic" w:hAnsi="Century Gothic"/>
          <w:color w:val="auto"/>
        </w:rPr>
      </w:pPr>
      <w:r>
        <w:rPr>
          <w:rFonts w:ascii="Century Gothic" w:hAnsi="Century Gothic"/>
          <w:color w:val="auto"/>
          <w:sz w:val="22"/>
          <w:lang w:bidi="ar-SA"/>
        </w:rPr>
        <w:t>Organisation de la seconde chance pour les examens terminaux</w:t>
      </w:r>
    </w:p>
    <w:p w14:paraId="2922671F" w14:textId="77777777" w:rsidR="00304814" w:rsidRDefault="000633BC">
      <w:pPr>
        <w:widowControl w:val="0"/>
        <w:jc w:val="both"/>
        <w:rPr>
          <w:rFonts w:ascii="Century Gothic" w:eastAsia="Calibri" w:hAnsi="Century Gothic" w:cs="Times New Roman"/>
          <w:bCs/>
          <w:sz w:val="22"/>
          <w:szCs w:val="22"/>
          <w:lang w:bidi="ar-SA"/>
        </w:rPr>
      </w:pPr>
      <w:r>
        <w:rPr>
          <w:rFonts w:ascii="Century Gothic" w:eastAsia="Calibri" w:hAnsi="Century Gothic" w:cs="Times New Roman"/>
          <w:bCs/>
          <w:sz w:val="22"/>
          <w:szCs w:val="22"/>
          <w:lang w:bidi="ar-SA"/>
        </w:rPr>
        <w:t xml:space="preserve">L’étudiant qui n’a pas validé son année après délibération du jury tenu à l’issue des sessions initiales et de remplacement ou dont les résultats n’ont pas pu être calculés (RNC) est admis à passer les épreuves de seconde chance pour les examens terminaux auxquels il a été ajourné ou déclaré absent. Les épreuves de seconde chance sont conçues pour vérifier que l’étudiant disposent des connaissances et des compétences indispensables pour passer dans l’année supérieure ou valider le diplôme. </w:t>
      </w:r>
    </w:p>
    <w:p w14:paraId="27DAE5FB" w14:textId="77777777" w:rsidR="00304814" w:rsidRDefault="00304814">
      <w:pPr>
        <w:widowControl w:val="0"/>
        <w:jc w:val="both"/>
        <w:rPr>
          <w:rFonts w:ascii="Century Gothic" w:eastAsia="Calibri" w:hAnsi="Century Gothic" w:cs="Times New Roman"/>
          <w:bCs/>
          <w:sz w:val="22"/>
          <w:szCs w:val="22"/>
          <w:lang w:bidi="ar-SA"/>
        </w:rPr>
      </w:pPr>
    </w:p>
    <w:p w14:paraId="13B5A03C" w14:textId="77777777" w:rsidR="00304814" w:rsidRDefault="000633BC">
      <w:pPr>
        <w:widowControl w:val="0"/>
        <w:jc w:val="both"/>
        <w:rPr>
          <w:rFonts w:ascii="Century Gothic" w:eastAsia="Calibri" w:hAnsi="Century Gothic" w:cs="Times New Roman"/>
          <w:bCs/>
          <w:sz w:val="22"/>
          <w:szCs w:val="22"/>
          <w:lang w:bidi="ar-SA"/>
        </w:rPr>
      </w:pPr>
      <w:r>
        <w:rPr>
          <w:rFonts w:ascii="Century Gothic" w:eastAsia="Calibri" w:hAnsi="Century Gothic" w:cs="Times New Roman"/>
          <w:bCs/>
          <w:sz w:val="22"/>
          <w:szCs w:val="22"/>
          <w:lang w:bidi="ar-SA"/>
        </w:rPr>
        <w:t>Les épreuves de seconde chance sont annuelles et correspondent soit aux épreuves de première session mais avec des modalités qui peuvent être différentes, soit à un regroupement de matières.</w:t>
      </w:r>
    </w:p>
    <w:p w14:paraId="39D0CD4D" w14:textId="77777777" w:rsidR="00304814" w:rsidRDefault="00304814">
      <w:pPr>
        <w:widowControl w:val="0"/>
        <w:jc w:val="both"/>
        <w:rPr>
          <w:rFonts w:ascii="Century Gothic" w:eastAsia="Calibri" w:hAnsi="Century Gothic" w:cs="Times New Roman"/>
          <w:bCs/>
          <w:sz w:val="22"/>
          <w:szCs w:val="22"/>
          <w:lang w:bidi="ar-SA"/>
        </w:rPr>
      </w:pPr>
    </w:p>
    <w:p w14:paraId="1A60E2F5" w14:textId="77777777" w:rsidR="00304814" w:rsidRDefault="000633BC">
      <w:pPr>
        <w:widowControl w:val="0"/>
        <w:jc w:val="both"/>
        <w:rPr>
          <w:rFonts w:ascii="Century Gothic" w:eastAsia="Calibri" w:hAnsi="Century Gothic" w:cs="Times New Roman"/>
          <w:bCs/>
          <w:sz w:val="22"/>
          <w:szCs w:val="22"/>
          <w:lang w:bidi="ar-SA"/>
        </w:rPr>
      </w:pPr>
      <w:r>
        <w:rPr>
          <w:rFonts w:ascii="Century Gothic" w:eastAsia="Calibri" w:hAnsi="Century Gothic" w:cs="Times New Roman"/>
          <w:bCs/>
          <w:sz w:val="22"/>
          <w:szCs w:val="22"/>
          <w:lang w:bidi="ar-SA"/>
        </w:rPr>
        <w:t xml:space="preserve">Chaque épreuve de seconde chance donne lieu à une note sur 20. L’étudiant n’acquiert de point que pour autant que cette note est strictement supérieure à </w:t>
      </w:r>
      <w:r>
        <w:rPr>
          <w:rFonts w:ascii="Century Gothic" w:eastAsia="Calibri" w:hAnsi="Century Gothic" w:cs="Times New Roman"/>
          <w:bCs/>
          <w:sz w:val="22"/>
          <w:szCs w:val="22"/>
          <w:u w:val="single"/>
          <w:lang w:bidi="ar-SA"/>
        </w:rPr>
        <w:t>8/20</w:t>
      </w:r>
      <w:r>
        <w:rPr>
          <w:rFonts w:ascii="Century Gothic" w:eastAsia="Calibri" w:hAnsi="Century Gothic" w:cs="Times New Roman"/>
          <w:bCs/>
          <w:sz w:val="22"/>
          <w:szCs w:val="22"/>
          <w:lang w:bidi="ar-SA"/>
        </w:rPr>
        <w:t>. Que les résultats de l’étudiant n’aient pas pu être calculés au terme de la session initiale ou de remplacement ne fait pas obstacle au calcul de sa moyenne générale à l’issue des épreuves de seconde chance.</w:t>
      </w:r>
    </w:p>
    <w:p w14:paraId="11EF9EA2" w14:textId="77777777" w:rsidR="00304814" w:rsidRDefault="000633BC">
      <w:pPr>
        <w:widowControl w:val="0"/>
        <w:jc w:val="both"/>
        <w:rPr>
          <w:rFonts w:ascii="Century Gothic" w:eastAsia="Calibri" w:hAnsi="Century Gothic" w:cs="Times New Roman"/>
          <w:bCs/>
          <w:sz w:val="22"/>
          <w:szCs w:val="22"/>
          <w:lang w:bidi="ar-SA"/>
        </w:rPr>
      </w:pPr>
      <w:r>
        <w:rPr>
          <w:rFonts w:ascii="Century Gothic" w:eastAsia="Calibri" w:hAnsi="Century Gothic" w:cs="Times New Roman"/>
          <w:bCs/>
          <w:sz w:val="22"/>
          <w:szCs w:val="22"/>
          <w:lang w:bidi="ar-SA"/>
        </w:rPr>
        <w:t xml:space="preserve">Les notes obtenues en session initiale (et de remplacement) sont conservées dans le relevé de notes de l’étudiant qui affiche, dans une rubrique distincte, les résultats de la seconde chance. Les notes obtenues lors de la seconde chance ne se substituent pas à celles de la première session ou de remplacement pour le calcul de la moyenne. La seconde chance </w:t>
      </w:r>
      <w:r>
        <w:rPr>
          <w:rFonts w:ascii="Century Gothic" w:eastAsia="Calibri" w:hAnsi="Century Gothic" w:cs="Times New Roman"/>
          <w:bCs/>
          <w:sz w:val="22"/>
          <w:szCs w:val="22"/>
          <w:lang w:bidi="ar-SA"/>
        </w:rPr>
        <w:lastRenderedPageBreak/>
        <w:t>permet uniquement d’obtenir des points supplémentaires afin de suppléer les points manquants pour l’obtention du diplôme. Le coefficient de la différence positive entre la note obtenue par l’étudiant et la note seuil précitée, pour le calcul des points acquis au terme des épreuves de seconde chance, est égal au nombre de crédits associés aux matières associées à cette épreuve de seconde chance dans les modalités de contrôle de connaissances et de compétences.</w:t>
      </w:r>
    </w:p>
    <w:p w14:paraId="30A56739" w14:textId="77777777" w:rsidR="00304814" w:rsidRDefault="00304814">
      <w:pPr>
        <w:widowControl w:val="0"/>
        <w:jc w:val="both"/>
        <w:rPr>
          <w:rFonts w:ascii="Century Gothic" w:eastAsia="Calibri" w:hAnsi="Century Gothic" w:cs="Times New Roman"/>
          <w:bCs/>
          <w:sz w:val="22"/>
          <w:szCs w:val="22"/>
          <w:lang w:bidi="ar-SA"/>
        </w:rPr>
      </w:pPr>
    </w:p>
    <w:p w14:paraId="5475BC4A" w14:textId="77777777" w:rsidR="00304814" w:rsidRDefault="000633BC">
      <w:pPr>
        <w:widowControl w:val="0"/>
        <w:jc w:val="both"/>
        <w:rPr>
          <w:rFonts w:ascii="Century Gothic" w:eastAsia="Calibri" w:hAnsi="Century Gothic" w:cs="Times New Roman"/>
          <w:bCs/>
          <w:sz w:val="22"/>
          <w:szCs w:val="22"/>
          <w:lang w:bidi="ar-SA"/>
        </w:rPr>
      </w:pPr>
      <w:r>
        <w:rPr>
          <w:rFonts w:ascii="Century Gothic" w:eastAsia="Calibri" w:hAnsi="Century Gothic" w:cs="Times New Roman"/>
          <w:bCs/>
          <w:sz w:val="22"/>
          <w:szCs w:val="22"/>
          <w:lang w:bidi="ar-SA"/>
        </w:rPr>
        <w:t xml:space="preserve">Les points acquis au titre de la seconde chance ne permettent pas à l’étudiant d’obtenir une mention. </w:t>
      </w:r>
      <w:r>
        <w:rPr>
          <w:rFonts w:ascii="Century Gothic" w:eastAsia="Calibri" w:hAnsi="Century Gothic" w:cs="Times New Roman"/>
          <w:b/>
          <w:sz w:val="22"/>
          <w:szCs w:val="22"/>
          <w:lang w:bidi="ar-SA"/>
        </w:rPr>
        <w:t>La mention ne s’acquiert qu’au regard des résultats de première session.</w:t>
      </w:r>
    </w:p>
    <w:p w14:paraId="43C540C5" w14:textId="77777777" w:rsidR="00304814" w:rsidRDefault="00304814">
      <w:pPr>
        <w:widowControl w:val="0"/>
        <w:jc w:val="both"/>
        <w:rPr>
          <w:rFonts w:ascii="Century Gothic" w:eastAsia="Calibri" w:hAnsi="Century Gothic" w:cs="Times New Roman"/>
          <w:bCs/>
          <w:sz w:val="22"/>
          <w:szCs w:val="22"/>
          <w:lang w:bidi="ar-SA"/>
        </w:rPr>
      </w:pPr>
    </w:p>
    <w:p w14:paraId="01528FE6" w14:textId="77777777" w:rsidR="00304814" w:rsidRDefault="00304814">
      <w:pPr>
        <w:widowControl w:val="0"/>
        <w:jc w:val="both"/>
        <w:rPr>
          <w:rFonts w:ascii="Century Gothic" w:eastAsia="Calibri" w:hAnsi="Century Gothic" w:cs="Times New Roman"/>
          <w:bCs/>
          <w:sz w:val="22"/>
          <w:szCs w:val="22"/>
          <w:lang w:bidi="ar-SA"/>
        </w:rPr>
      </w:pPr>
    </w:p>
    <w:p w14:paraId="57672539" w14:textId="77777777" w:rsidR="00304814" w:rsidRDefault="000633BC">
      <w:pPr>
        <w:widowControl w:val="0"/>
        <w:jc w:val="both"/>
        <w:rPr>
          <w:rFonts w:ascii="Century Gothic" w:hAnsi="Century Gothic"/>
          <w:bCs/>
        </w:rPr>
      </w:pPr>
      <w:r>
        <w:rPr>
          <w:rFonts w:ascii="Century Gothic" w:eastAsia="Calibri" w:hAnsi="Century Gothic" w:cs="Times New Roman"/>
          <w:bCs/>
          <w:sz w:val="22"/>
          <w:szCs w:val="22"/>
          <w:lang w:bidi="ar-SA"/>
        </w:rPr>
        <w:t>Il n’y a pas d’épreuve de remplacement pour la seconde chance : en cas d’absence, justifiée ou non, de l’étudiant à l’épreuve de seconde chance, il n’y aura pas de nouvelle épreuve et l’étudiant ne bénéficiera pas de bonification.</w:t>
      </w:r>
    </w:p>
    <w:p w14:paraId="2B0BDE2A" w14:textId="77777777" w:rsidR="00304814" w:rsidRDefault="00304814">
      <w:pPr>
        <w:widowControl w:val="0"/>
        <w:tabs>
          <w:tab w:val="left" w:pos="567"/>
        </w:tabs>
        <w:spacing w:line="280" w:lineRule="exact"/>
        <w:ind w:right="-1"/>
        <w:jc w:val="both"/>
        <w:rPr>
          <w:rFonts w:ascii="Century Gothic" w:hAnsi="Century Gothic"/>
          <w:sz w:val="22"/>
          <w:szCs w:val="22"/>
        </w:rPr>
      </w:pPr>
    </w:p>
    <w:p w14:paraId="0156CA20"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u w:val="single"/>
          <w:lang w:bidi="ar-SA"/>
        </w:rPr>
        <w:t>En cas de non-validation de l’année/du diplôme</w:t>
      </w:r>
      <w:r>
        <w:rPr>
          <w:rFonts w:ascii="Century Gothic" w:eastAsia="Calibri" w:hAnsi="Century Gothic" w:cstheme="minorHAnsi"/>
          <w:color w:val="000000"/>
          <w:sz w:val="22"/>
          <w:szCs w:val="22"/>
          <w:lang w:bidi="ar-SA"/>
        </w:rPr>
        <w:t> : Si les points acquis au terme des épreuves de seconde chance ne permettent pas à l’étudiant de valider la majeure, la mineure ou l’année, ils ne sont pas conservés l’année suivante en cas de redoublement.</w:t>
      </w:r>
    </w:p>
    <w:p w14:paraId="7994F16F"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u w:val="single"/>
          <w:lang w:bidi="ar-SA"/>
        </w:rPr>
        <w:t>Pour les étudiants boursiers</w:t>
      </w:r>
      <w:r>
        <w:rPr>
          <w:rFonts w:ascii="Century Gothic" w:eastAsia="Calibri" w:hAnsi="Century Gothic" w:cstheme="minorHAnsi"/>
          <w:color w:val="000000"/>
          <w:sz w:val="22"/>
          <w:szCs w:val="22"/>
          <w:lang w:bidi="ar-SA"/>
        </w:rPr>
        <w:t> :  le versement de la bourse est subordonné à l’assiduité aux cours, aux contrôles continus et aux examens, dont les épreuves de seconde chance. La participation aux épreuves de seconde chance fait donc l’objet d’un suivi et d’un contrôle par le CROUS auprès des services de scolarité de la Faculté. La non-assiduité peut conduire le CROUS à demander à l’étudiant le remboursement intégral ou partiel de l’aide perçue.</w:t>
      </w:r>
    </w:p>
    <w:p w14:paraId="61FF17EC" w14:textId="77777777" w:rsidR="00304814" w:rsidRDefault="000633BC">
      <w:pPr>
        <w:pStyle w:val="Titre1"/>
        <w:numPr>
          <w:ilvl w:val="0"/>
          <w:numId w:val="16"/>
        </w:numPr>
        <w:spacing w:before="156" w:line="276" w:lineRule="auto"/>
        <w:ind w:left="0" w:firstLine="0"/>
        <w:jc w:val="both"/>
        <w:rPr>
          <w:color w:val="auto"/>
        </w:rPr>
      </w:pPr>
      <w:r>
        <w:rPr>
          <w:rFonts w:eastAsia="Times New Roman" w:cstheme="minorHAnsi"/>
          <w:b/>
          <w:color w:val="000000"/>
          <w:sz w:val="22"/>
          <w:szCs w:val="22"/>
          <w:lang w:eastAsia="fr-FR" w:bidi="ar-SA"/>
        </w:rPr>
        <w:t>Aménagement des</w:t>
      </w:r>
      <w:r>
        <w:rPr>
          <w:rFonts w:eastAsia="Times New Roman" w:cstheme="minorHAnsi"/>
          <w:b/>
          <w:bCs/>
          <w:color w:val="000000"/>
          <w:sz w:val="22"/>
          <w:szCs w:val="22"/>
          <w:lang w:eastAsia="fr-FR" w:bidi="ar-SA"/>
        </w:rPr>
        <w:t xml:space="preserve"> examens pour les étudiants en situation de handicap</w:t>
      </w:r>
      <w:r>
        <w:rPr>
          <w:rFonts w:eastAsia="Times New Roman" w:cs="Calibri"/>
          <w:b/>
          <w:bCs/>
          <w:color w:val="000000"/>
          <w:sz w:val="22"/>
          <w:szCs w:val="22"/>
          <w:lang w:eastAsia="fr-FR" w:bidi="ar-SA"/>
        </w:rPr>
        <w:t xml:space="preserve"> </w:t>
      </w:r>
      <w:r>
        <w:rPr>
          <w:b/>
          <w:bCs/>
          <w:color w:val="000000"/>
          <w:sz w:val="22"/>
          <w:szCs w:val="22"/>
        </w:rPr>
        <w:t>ou présentant un trouble de santé invalidant</w:t>
      </w:r>
    </w:p>
    <w:p w14:paraId="1245B3FF" w14:textId="3D1F0DB6" w:rsidR="00304814" w:rsidRDefault="000633BC">
      <w:pPr>
        <w:pStyle w:val="Titre1"/>
        <w:spacing w:before="156" w:line="276" w:lineRule="auto"/>
        <w:jc w:val="both"/>
        <w:rPr>
          <w:rFonts w:eastAsia="Times New Roman" w:cstheme="minorHAnsi"/>
          <w:color w:val="000000"/>
          <w:sz w:val="22"/>
          <w:szCs w:val="22"/>
          <w:lang w:eastAsia="fr-FR" w:bidi="ar-SA"/>
        </w:rPr>
      </w:pPr>
      <w:r>
        <w:rPr>
          <w:rFonts w:eastAsia="Times New Roman" w:cstheme="minorHAnsi"/>
          <w:color w:val="000000"/>
          <w:sz w:val="22"/>
          <w:szCs w:val="22"/>
          <w:lang w:eastAsia="fr-FR" w:bidi="ar-SA"/>
        </w:rPr>
        <w:t xml:space="preserve">Aux termes de l’article L114 du code de l’action sociale et des familles « constitue un handicap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la santé invalidant ». Seuls les étudiants dont le handicap répond à cette définition peuvent demander à bénéficier des aménagements prévus par les articles D. 613-26 et suivants du code de l’éducation et la </w:t>
      </w:r>
      <w:r>
        <w:rPr>
          <w:color w:val="000000"/>
          <w:sz w:val="22"/>
          <w:szCs w:val="22"/>
        </w:rPr>
        <w:t>circulaire du 6 février 2023 relative aux adaptations et aménagements des épreuves d’examen et de concours pour les candidats en situation de handicap</w:t>
      </w:r>
      <w:r>
        <w:rPr>
          <w:rFonts w:eastAsia="Times New Roman" w:cstheme="minorHAnsi"/>
          <w:color w:val="000000"/>
          <w:sz w:val="22"/>
          <w:szCs w:val="22"/>
          <w:lang w:eastAsia="fr-FR" w:bidi="ar-SA"/>
        </w:rPr>
        <w:t>.</w:t>
      </w:r>
    </w:p>
    <w:p w14:paraId="6B5DD19C" w14:textId="77777777" w:rsidR="004B5776" w:rsidRPr="0038061B" w:rsidRDefault="004B5776" w:rsidP="0038061B">
      <w:pPr>
        <w:rPr>
          <w:lang w:eastAsia="fr-FR" w:bidi="ar-SA"/>
        </w:rPr>
      </w:pPr>
    </w:p>
    <w:p w14:paraId="48F392DF" w14:textId="77777777" w:rsidR="004B5776" w:rsidRPr="004B5776" w:rsidRDefault="004B5776" w:rsidP="004B5776">
      <w:pPr>
        <w:spacing w:after="120"/>
        <w:rPr>
          <w:rFonts w:ascii="Century Gothic" w:eastAsia="Calibri" w:hAnsi="Century Gothic" w:cs="Century Gothic"/>
          <w:color w:val="232220"/>
          <w:sz w:val="22"/>
          <w:szCs w:val="20"/>
          <w:lang w:eastAsia="en-US" w:bidi="ar-SA"/>
        </w:rPr>
      </w:pPr>
      <w:r w:rsidRPr="004B5776">
        <w:rPr>
          <w:rFonts w:ascii="Century Gothic" w:eastAsia="Calibri" w:hAnsi="Century Gothic" w:cs="Century Gothic"/>
          <w:b/>
          <w:bCs/>
          <w:color w:val="232220"/>
          <w:sz w:val="22"/>
          <w:szCs w:val="20"/>
          <w:lang w:eastAsia="en-US" w:bidi="ar-SA"/>
        </w:rPr>
        <w:t>Toute demande d’aménagement pour le semestre impair devra être formulée auprès du service de santé étudiante avant le 15 octobre</w:t>
      </w:r>
      <w:r w:rsidRPr="004B5776">
        <w:rPr>
          <w:rFonts w:ascii="Century Gothic" w:eastAsia="Calibri" w:hAnsi="Century Gothic" w:cs="Century Gothic"/>
          <w:color w:val="232220"/>
          <w:sz w:val="22"/>
          <w:szCs w:val="20"/>
          <w:lang w:eastAsia="en-US" w:bidi="ar-SA"/>
        </w:rPr>
        <w:t>. La notification des aménagements d’examens devra être transmise à l’étudiant et à sa scolarité au plus tard le 25 novembre.</w:t>
      </w:r>
    </w:p>
    <w:p w14:paraId="43564004" w14:textId="093F4D5A" w:rsidR="004B5776" w:rsidRDefault="004B5776" w:rsidP="004B5776">
      <w:pPr>
        <w:spacing w:after="120"/>
        <w:rPr>
          <w:rFonts w:ascii="Century Gothic" w:eastAsia="Calibri" w:hAnsi="Century Gothic" w:cs="Century Gothic"/>
          <w:color w:val="232220"/>
          <w:sz w:val="22"/>
          <w:szCs w:val="20"/>
          <w:lang w:eastAsia="en-US" w:bidi="ar-SA"/>
        </w:rPr>
      </w:pPr>
      <w:r w:rsidRPr="004B5776">
        <w:rPr>
          <w:rFonts w:ascii="Century Gothic" w:eastAsia="Calibri" w:hAnsi="Century Gothic" w:cs="Century Gothic"/>
          <w:b/>
          <w:bCs/>
          <w:color w:val="232220"/>
          <w:sz w:val="22"/>
          <w:szCs w:val="20"/>
          <w:lang w:eastAsia="en-US" w:bidi="ar-SA"/>
        </w:rPr>
        <w:t xml:space="preserve">Pour le semestre pair, toute demande d’aménagement devra être formulée auprès du service de santé étudiante avant le 20 février </w:t>
      </w:r>
      <w:r w:rsidRPr="004B5776">
        <w:rPr>
          <w:rFonts w:ascii="Century Gothic" w:eastAsia="Calibri" w:hAnsi="Century Gothic" w:cs="Century Gothic"/>
          <w:color w:val="232220"/>
          <w:sz w:val="22"/>
          <w:szCs w:val="20"/>
          <w:lang w:eastAsia="en-US" w:bidi="ar-SA"/>
        </w:rPr>
        <w:t>afin de permettre la transmission de la notification des aménagements au plus tard le 30 mars.</w:t>
      </w:r>
    </w:p>
    <w:p w14:paraId="5C873CF3" w14:textId="77777777" w:rsidR="004B5776" w:rsidRPr="004B5776" w:rsidRDefault="004B5776" w:rsidP="004B5776">
      <w:pPr>
        <w:spacing w:after="120"/>
        <w:rPr>
          <w:rFonts w:ascii="Century Gothic" w:eastAsia="Calibri" w:hAnsi="Century Gothic" w:cs="Century Gothic"/>
          <w:color w:val="232220"/>
          <w:sz w:val="22"/>
          <w:szCs w:val="20"/>
          <w:lang w:eastAsia="en-US" w:bidi="ar-SA"/>
        </w:rPr>
      </w:pPr>
    </w:p>
    <w:p w14:paraId="747B2B70"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Les étudiants concernés par une limitation d’activité n’entrant pas dans le champ du handicap tel que défini à l’article L114 précité ne peuvent bénéficier des aménagements prévus par les textes réglementaires susvisés. Leur cas relève des règles normales d’organisation des examens. Il en est ainsi, notamment, pour les étudiants atteints d’une incapacité temporaire (fracture, entorse ou problèmes de santé temporaires).</w:t>
      </w:r>
    </w:p>
    <w:p w14:paraId="343E6D70" w14:textId="77777777" w:rsidR="00304814" w:rsidRDefault="000633BC">
      <w:pPr>
        <w:pStyle w:val="Paragraphedeliste"/>
        <w:numPr>
          <w:ilvl w:val="0"/>
          <w:numId w:val="16"/>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bidi="ar-SA"/>
        </w:rPr>
        <w:t>Régime transitoire pour les redoublants</w:t>
      </w:r>
    </w:p>
    <w:p w14:paraId="59F91E01"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Les redoublants ne peuvent être soumis à des épreuves annuelles ou à des épreuves communes à plusieurs matières prévues par les nouvelles MCCC lorsque, au cours des années antérieures à 2023-2024, ils ont acquis des crédits ECTS au titre d’un semestre ou de l’une des matières concernées. Un régime transitoire sera mis en place.</w:t>
      </w:r>
    </w:p>
    <w:p w14:paraId="4500EEAB" w14:textId="77777777" w:rsidR="00304814" w:rsidRDefault="000633BC">
      <w:pPr>
        <w:pStyle w:val="Paragraphedeliste"/>
        <w:numPr>
          <w:ilvl w:val="0"/>
          <w:numId w:val="16"/>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bidi="ar-SA"/>
        </w:rPr>
        <w:t>Retard aux examens</w:t>
      </w:r>
    </w:p>
    <w:p w14:paraId="4FD0FBF3" w14:textId="77777777" w:rsidR="00304814" w:rsidRDefault="000633BC">
      <w:pPr>
        <w:pStyle w:val="Titre1"/>
        <w:spacing w:before="156" w:line="276" w:lineRule="auto"/>
        <w:jc w:val="both"/>
        <w:rPr>
          <w:color w:val="auto"/>
        </w:rPr>
      </w:pPr>
      <w:bookmarkStart w:id="8" w:name="_Hlk207360023"/>
      <w:r>
        <w:rPr>
          <w:rFonts w:eastAsia="Calibri" w:cstheme="minorHAnsi"/>
          <w:color w:val="000000"/>
          <w:sz w:val="22"/>
          <w:szCs w:val="22"/>
          <w:lang w:bidi="ar-SA"/>
        </w:rPr>
        <w:t xml:space="preserve">Dans le cadre des examens terminaux (T.E./T.O.), des épreuves écrites/orales (EE/EO) et des interrogations écrites (I.E.), </w:t>
      </w:r>
      <w:r>
        <w:rPr>
          <w:rFonts w:eastAsia="Times New Roman" w:cstheme="minorHAnsi"/>
          <w:color w:val="000000"/>
          <w:sz w:val="22"/>
          <w:szCs w:val="22"/>
          <w:lang w:eastAsia="fr-FR" w:bidi="ar-SA"/>
        </w:rPr>
        <w:t>les étudiants doivent être présents dans la salle d’examen un quart d’heure avant le début de l’épreuve à la place qui leur est attribuée et communiquée par Intranet. Aucun étudiant se présentant avec un retard de plus de 30 minutes ne pourra être autorisé à composer. Aucun temps supplémentaire de composition ne sera accordé au candidat concerné en cas de retard.</w:t>
      </w:r>
    </w:p>
    <w:p w14:paraId="1F5E6D59"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Dans le cas d’examens prenant la forme de questionnaires à choix multiple (</w:t>
      </w:r>
      <w:r>
        <w:rPr>
          <w:rFonts w:eastAsia="Times New Roman" w:cstheme="minorHAnsi"/>
          <w:b/>
          <w:color w:val="000000"/>
          <w:sz w:val="22"/>
          <w:szCs w:val="22"/>
          <w:lang w:eastAsia="fr-FR" w:bidi="ar-SA"/>
        </w:rPr>
        <w:t>Q.C.M.</w:t>
      </w:r>
      <w:r>
        <w:rPr>
          <w:rFonts w:eastAsia="Times New Roman" w:cstheme="minorHAnsi"/>
          <w:color w:val="000000"/>
          <w:sz w:val="22"/>
          <w:szCs w:val="22"/>
          <w:lang w:eastAsia="fr-FR" w:bidi="ar-SA"/>
        </w:rPr>
        <w:t xml:space="preserve">), </w:t>
      </w:r>
      <w:r>
        <w:rPr>
          <w:rFonts w:eastAsia="Times New Roman" w:cstheme="minorHAnsi"/>
          <w:b/>
          <w:color w:val="000000"/>
          <w:sz w:val="22"/>
          <w:szCs w:val="22"/>
          <w:lang w:eastAsia="fr-FR" w:bidi="ar-SA"/>
        </w:rPr>
        <w:t>aucun retard ne sera accepté et aucune sortie tolérée avant la fin de l’épreuve.</w:t>
      </w:r>
    </w:p>
    <w:p w14:paraId="0495C188"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Pour les examens oraux, les étudiants peuvent être convoqués de façon groupée à une heure précise ou par ordre de passage. Dans ce dernier cas, ils doivent consulter leur horaire de passage sur leur intranet ou sur les affichages.</w:t>
      </w:r>
      <w:bookmarkEnd w:id="8"/>
    </w:p>
    <w:p w14:paraId="002E3BDA" w14:textId="77777777" w:rsidR="00304814" w:rsidRDefault="000633BC">
      <w:pPr>
        <w:pStyle w:val="Paragraphedeliste"/>
        <w:numPr>
          <w:ilvl w:val="0"/>
          <w:numId w:val="16"/>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bidi="ar-SA"/>
        </w:rPr>
        <w:t>Absence et organisation des épreuves de remplacement</w:t>
      </w:r>
    </w:p>
    <w:p w14:paraId="08BACB94"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Il est obligatoire de justifier toute absence dans le cadre d’une évaluation. En cas d’absence non justifiée à une évaluation du contrôle continu et/ou à une évaluation en examen terminal :</w:t>
      </w:r>
    </w:p>
    <w:p w14:paraId="012094C8"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les étudiants ne peuvent accéder à une épreuve de remplacement</w:t>
      </w:r>
    </w:p>
    <w:p w14:paraId="59F87E5C"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l’absence vaut défaillance de l’étudiant : le jury ne peut délibérer sur les résultats de l’intéressé, qui ne sont pas calculés (RNC).</w:t>
      </w:r>
    </w:p>
    <w:p w14:paraId="2D146578" w14:textId="77777777" w:rsidR="00304814" w:rsidRDefault="000633BC">
      <w:pPr>
        <w:pStyle w:val="Titre3"/>
        <w:spacing w:before="156" w:line="276" w:lineRule="auto"/>
        <w:jc w:val="both"/>
        <w:rPr>
          <w:rFonts w:ascii="Century Gothic" w:hAnsi="Century Gothic"/>
          <w:color w:val="auto"/>
        </w:rPr>
      </w:pPr>
      <w:bookmarkStart w:id="9" w:name="_Toc140750712"/>
      <w:r>
        <w:rPr>
          <w:rFonts w:ascii="Century Gothic" w:hAnsi="Century Gothic" w:cstheme="minorHAnsi"/>
          <w:color w:val="000000"/>
          <w:sz w:val="22"/>
          <w:szCs w:val="22"/>
          <w:lang w:bidi="ar-SA"/>
        </w:rPr>
        <w:t xml:space="preserve">1. </w:t>
      </w:r>
      <w:r>
        <w:rPr>
          <w:rFonts w:ascii="Century Gothic" w:hAnsi="Century Gothic" w:cstheme="minorHAnsi"/>
          <w:b/>
          <w:color w:val="000000"/>
          <w:sz w:val="22"/>
          <w:szCs w:val="22"/>
          <w:lang w:bidi="ar-SA"/>
        </w:rPr>
        <w:t>Absence dans le cadre d’une évaluation en contrôle continu</w:t>
      </w:r>
      <w:bookmarkEnd w:id="9"/>
    </w:p>
    <w:p w14:paraId="02858709" w14:textId="77777777" w:rsidR="00304814" w:rsidRDefault="000633BC">
      <w:pPr>
        <w:spacing w:before="156" w:line="276" w:lineRule="auto"/>
        <w:jc w:val="both"/>
        <w:rPr>
          <w:rFonts w:ascii="Century Gothic" w:hAnsi="Century Gothic"/>
        </w:rPr>
      </w:pPr>
      <w:bookmarkStart w:id="10" w:name="_Hlk140683743"/>
      <w:bookmarkEnd w:id="10"/>
      <w:r>
        <w:rPr>
          <w:rFonts w:ascii="Century Gothic" w:eastAsia="Calibri" w:hAnsi="Century Gothic" w:cstheme="minorHAnsi"/>
          <w:color w:val="000000"/>
          <w:sz w:val="22"/>
          <w:szCs w:val="22"/>
          <w:lang w:bidi="ar-SA"/>
        </w:rPr>
        <w:t xml:space="preserve">Les étudiants absents lors d’une évaluation prévue dans le cadre du Contrôle Continu </w:t>
      </w:r>
      <w:r>
        <w:rPr>
          <w:rFonts w:ascii="Century Gothic" w:eastAsia="Calibri" w:hAnsi="Century Gothic" w:cstheme="minorHAnsi"/>
          <w:b/>
          <w:bCs/>
          <w:color w:val="000000"/>
          <w:sz w:val="22"/>
          <w:szCs w:val="22"/>
          <w:lang w:bidi="ar-SA"/>
        </w:rPr>
        <w:t>doivent impérativement justifier leur absence sous 8 jours</w:t>
      </w:r>
      <w:r>
        <w:rPr>
          <w:rFonts w:ascii="Century Gothic" w:eastAsia="Calibri" w:hAnsi="Century Gothic" w:cstheme="minorHAnsi"/>
          <w:color w:val="000000"/>
          <w:sz w:val="22"/>
          <w:szCs w:val="22"/>
          <w:lang w:bidi="ar-SA"/>
        </w:rPr>
        <w:t xml:space="preserve"> (délais de rigueur) auprès du </w:t>
      </w:r>
      <w:r>
        <w:rPr>
          <w:rFonts w:ascii="Century Gothic" w:eastAsia="Calibri" w:hAnsi="Century Gothic" w:cstheme="minorHAnsi"/>
          <w:color w:val="000000"/>
          <w:sz w:val="22"/>
          <w:szCs w:val="22"/>
          <w:lang w:bidi="ar-SA"/>
        </w:rPr>
        <w:lastRenderedPageBreak/>
        <w:t>secrétariat et de l’enseignant, en respectant la liste des motifs pris en compte détaillée ci-dessus.</w:t>
      </w:r>
      <w:bookmarkStart w:id="11" w:name="_Hlk140683743_Copie_1"/>
      <w:bookmarkEnd w:id="11"/>
    </w:p>
    <w:p w14:paraId="579A20F6"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u w:val="single"/>
          <w:lang w:bidi="ar-SA"/>
        </w:rPr>
        <w:t>Pour les évaluations en TD</w:t>
      </w:r>
      <w:r>
        <w:rPr>
          <w:rFonts w:ascii="Century Gothic" w:eastAsia="Calibri" w:hAnsi="Century Gothic" w:cstheme="minorHAnsi"/>
          <w:color w:val="000000"/>
          <w:sz w:val="22"/>
          <w:szCs w:val="22"/>
          <w:lang w:bidi="ar-SA"/>
        </w:rPr>
        <w:t xml:space="preserve">, les étudiants absents doivent </w:t>
      </w:r>
      <w:bookmarkStart w:id="12" w:name="_Hlk140681409"/>
      <w:r>
        <w:rPr>
          <w:rFonts w:ascii="Century Gothic" w:eastAsia="Calibri" w:hAnsi="Century Gothic" w:cstheme="minorHAnsi"/>
          <w:color w:val="000000"/>
          <w:sz w:val="22"/>
          <w:szCs w:val="22"/>
          <w:lang w:bidi="ar-SA"/>
        </w:rPr>
        <w:t>impérativement prendre contact avec l’enseignant sous les 8 jours</w:t>
      </w:r>
      <w:bookmarkEnd w:id="12"/>
      <w:r>
        <w:rPr>
          <w:rFonts w:ascii="Century Gothic" w:eastAsia="Calibri" w:hAnsi="Century Gothic" w:cstheme="minorHAnsi"/>
          <w:color w:val="000000"/>
          <w:sz w:val="22"/>
          <w:szCs w:val="22"/>
          <w:lang w:bidi="ar-SA"/>
        </w:rPr>
        <w:t xml:space="preserve"> pour qu’une</w:t>
      </w:r>
      <w:bookmarkStart w:id="13" w:name="_Hlk140681762"/>
      <w:r>
        <w:rPr>
          <w:rFonts w:ascii="Century Gothic" w:eastAsia="Calibri" w:hAnsi="Century Gothic" w:cstheme="minorHAnsi"/>
          <w:color w:val="000000"/>
          <w:sz w:val="22"/>
          <w:szCs w:val="22"/>
          <w:lang w:bidi="ar-SA"/>
        </w:rPr>
        <w:t xml:space="preserve"> épreuve de remplacement</w:t>
      </w:r>
      <w:bookmarkEnd w:id="13"/>
      <w:r>
        <w:rPr>
          <w:rFonts w:ascii="Century Gothic" w:eastAsia="Calibri" w:hAnsi="Century Gothic" w:cstheme="minorHAnsi"/>
          <w:color w:val="000000"/>
          <w:sz w:val="22"/>
          <w:szCs w:val="22"/>
          <w:lang w:bidi="ar-SA"/>
        </w:rPr>
        <w:t xml:space="preserve"> soit prévue avant la fin du semestre.</w:t>
      </w:r>
    </w:p>
    <w:p w14:paraId="4EEF5C27"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u w:val="single"/>
          <w:lang w:bidi="ar-SA"/>
        </w:rPr>
        <w:t>Pour les évaluations en IE et EE/EO</w:t>
      </w:r>
      <w:r>
        <w:rPr>
          <w:rFonts w:ascii="Century Gothic" w:eastAsia="Calibri" w:hAnsi="Century Gothic" w:cstheme="minorHAnsi"/>
          <w:color w:val="000000"/>
          <w:sz w:val="22"/>
          <w:szCs w:val="22"/>
          <w:lang w:bidi="ar-SA"/>
        </w:rPr>
        <w:t>, les étudiants absents doivent impérativement transmettre à la scolarité sous les 8 jours, le formulaire d’absence et leur justificatif pour recevoir la convocation à l’épreuve de remplacement. Un formulaire spécifique est prévu à cet effet.</w:t>
      </w:r>
    </w:p>
    <w:p w14:paraId="4FAF2C65"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L’épreuve de remplacement est unique et obligatoire : aucun justificatif d’absence ne sera accepté. </w:t>
      </w:r>
      <w:bookmarkStart w:id="14" w:name="_Hlk140685349"/>
      <w:r>
        <w:rPr>
          <w:rFonts w:ascii="Century Gothic" w:eastAsia="Calibri" w:hAnsi="Century Gothic" w:cstheme="minorHAnsi"/>
          <w:color w:val="000000"/>
          <w:sz w:val="22"/>
          <w:szCs w:val="22"/>
          <w:lang w:bidi="ar-SA"/>
        </w:rPr>
        <w:t xml:space="preserve">En cas d’absence à l’épreuve de remplacement, même justifiée, aucune nouvelle épreuve ne sera organisée. </w:t>
      </w:r>
      <w:bookmarkStart w:id="15" w:name="_Hlk140685399"/>
      <w:bookmarkEnd w:id="14"/>
      <w:r>
        <w:rPr>
          <w:rFonts w:ascii="Century Gothic" w:eastAsia="Calibri" w:hAnsi="Century Gothic" w:cstheme="minorHAnsi"/>
          <w:color w:val="000000"/>
          <w:sz w:val="22"/>
          <w:szCs w:val="22"/>
          <w:lang w:bidi="ar-SA"/>
        </w:rPr>
        <w:t>Cette nouvelle absence à l’épreuve de remplacement vaut défaillance de l’étudiant : le jury ne peut délibérer sur les résultats de l’intéressé, qui ne sont pas calculés (RNC).</w:t>
      </w:r>
      <w:bookmarkEnd w:id="15"/>
    </w:p>
    <w:p w14:paraId="0E46EB92" w14:textId="77777777" w:rsidR="00304814" w:rsidRDefault="000633BC">
      <w:pPr>
        <w:pStyle w:val="Titre3"/>
        <w:spacing w:before="156" w:line="276" w:lineRule="auto"/>
        <w:jc w:val="both"/>
        <w:rPr>
          <w:rFonts w:ascii="Century Gothic" w:hAnsi="Century Gothic"/>
          <w:color w:val="auto"/>
        </w:rPr>
      </w:pPr>
      <w:bookmarkStart w:id="16" w:name="_Toc140750713"/>
      <w:r>
        <w:rPr>
          <w:rFonts w:ascii="Century Gothic" w:hAnsi="Century Gothic" w:cstheme="minorHAnsi"/>
          <w:color w:val="000000"/>
          <w:sz w:val="22"/>
          <w:szCs w:val="22"/>
          <w:lang w:bidi="ar-SA"/>
        </w:rPr>
        <w:t xml:space="preserve">2. </w:t>
      </w:r>
      <w:r>
        <w:rPr>
          <w:rFonts w:ascii="Century Gothic" w:hAnsi="Century Gothic" w:cstheme="minorHAnsi"/>
          <w:b/>
          <w:color w:val="000000"/>
          <w:sz w:val="22"/>
          <w:szCs w:val="22"/>
          <w:lang w:bidi="ar-SA"/>
        </w:rPr>
        <w:t>Absence dans le cadre d’un examen terminal</w:t>
      </w:r>
      <w:bookmarkEnd w:id="16"/>
    </w:p>
    <w:p w14:paraId="51C80173"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Les étudiants absents lors d’un examen terminal de fin de semestre </w:t>
      </w:r>
      <w:r>
        <w:rPr>
          <w:rFonts w:ascii="Century Gothic" w:eastAsia="Calibri" w:hAnsi="Century Gothic" w:cstheme="minorHAnsi"/>
          <w:b/>
          <w:bCs/>
          <w:color w:val="000000"/>
          <w:sz w:val="22"/>
          <w:szCs w:val="22"/>
          <w:lang w:bidi="ar-SA"/>
        </w:rPr>
        <w:t xml:space="preserve">doivent impérativement justifier leur absence sous 8 jours </w:t>
      </w:r>
      <w:r>
        <w:rPr>
          <w:rFonts w:ascii="Century Gothic" w:eastAsia="Calibri" w:hAnsi="Century Gothic" w:cstheme="minorHAnsi"/>
          <w:color w:val="000000"/>
          <w:sz w:val="22"/>
          <w:szCs w:val="22"/>
          <w:lang w:bidi="ar-SA"/>
        </w:rPr>
        <w:t>(délai de rigueur) auprès du secrétariat, en respectant la liste des motifs pris en compte détaillée ci-dessus. Ils pourront alors bénéficier d’une épreuve unique et obligatoire de remplacement. En cas d’absence à l’épreuve de remplacement, même justifiée, aucune nouvelle épreuve ne sera organisée. Cette nouvelle absence à l’épreuve de remplacement vaut défaillance de l’étudiant : le jury ne peut délibérer sur les résultats de l’intéressé, qui ne sont pas calculés (RNC). L’étudiant est alors appelé à participer à la « seconde chance » organisée à la fin de l’année universitaire.</w:t>
      </w:r>
    </w:p>
    <w:p w14:paraId="00EC8893" w14:textId="77777777" w:rsidR="00304814" w:rsidRDefault="000633BC">
      <w:pPr>
        <w:pStyle w:val="Paragraphedeliste"/>
        <w:numPr>
          <w:ilvl w:val="0"/>
          <w:numId w:val="16"/>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eastAsia="fr-FR" w:bidi="ar-SA"/>
        </w:rPr>
        <w:t>Discipline</w:t>
      </w:r>
    </w:p>
    <w:p w14:paraId="0D40232E"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Il est à rappeler que toute fraude ou tentative de fraude, notamment à un contrôle de connaissance (contrôle continu ou examen terminal), est sanctionnée et peut faire l’objet d’une procédure disciplinaire.</w:t>
      </w:r>
    </w:p>
    <w:p w14:paraId="709262E4"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Les dispositions qui fixent cette procédure sont indiquées dans les articles R.811-11 et suivants du code de l’éducation.</w:t>
      </w:r>
    </w:p>
    <w:p w14:paraId="3AE8BF99"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Le plagiat ou tout recours à une aide rédactionnelle relève de la fraude ou tentative de fraude et sera sanctionné.</w:t>
      </w:r>
    </w:p>
    <w:p w14:paraId="0E0B2F12" w14:textId="77777777" w:rsidR="00304814" w:rsidRDefault="000633BC">
      <w:pPr>
        <w:pStyle w:val="Paragraphedeliste"/>
        <w:numPr>
          <w:ilvl w:val="0"/>
          <w:numId w:val="16"/>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bidi="ar-SA"/>
        </w:rPr>
        <w:t>Consultation de copies d’examen</w:t>
      </w:r>
    </w:p>
    <w:p w14:paraId="5E197AE3" w14:textId="77777777" w:rsidR="00304814" w:rsidRDefault="000633BC">
      <w:pPr>
        <w:spacing w:before="156" w:line="276" w:lineRule="auto"/>
        <w:jc w:val="both"/>
        <w:rPr>
          <w:rFonts w:ascii="Century Gothic" w:eastAsia="Calibri" w:hAnsi="Century Gothic" w:cstheme="minorHAnsi"/>
          <w:color w:val="000000"/>
          <w:sz w:val="22"/>
          <w:szCs w:val="22"/>
          <w:lang w:eastAsia="fr-FR" w:bidi="ar-SA"/>
        </w:rPr>
      </w:pPr>
      <w:r>
        <w:rPr>
          <w:rFonts w:ascii="Century Gothic" w:eastAsia="Calibri" w:hAnsi="Century Gothic" w:cstheme="minorHAnsi"/>
          <w:color w:val="000000"/>
          <w:sz w:val="22"/>
          <w:szCs w:val="22"/>
          <w:lang w:eastAsia="fr-FR" w:bidi="ar-SA"/>
        </w:rPr>
        <w:t xml:space="preserve">Les étudiants peuvent consulter leurs copies d’examen (CC/TD, IE, EE, TE) en la présence d’un enseignant s’ils en formulent la demande selon un calendrier fixé par la faculté des </w:t>
      </w:r>
      <w:r>
        <w:rPr>
          <w:rFonts w:ascii="Century Gothic" w:eastAsia="Calibri" w:hAnsi="Century Gothic" w:cstheme="minorHAnsi"/>
          <w:color w:val="000000"/>
          <w:sz w:val="22"/>
          <w:szCs w:val="22"/>
          <w:lang w:eastAsia="fr-FR" w:bidi="ar-SA"/>
        </w:rPr>
        <w:lastRenderedPageBreak/>
        <w:t xml:space="preserve">langues en conformité avec la charte des examens. L’enseignant est libre de traiter les demandes de consultation sur un seul rendez-vous ou une seule permanence. </w:t>
      </w:r>
    </w:p>
    <w:p w14:paraId="128C3CE5" w14:textId="77777777" w:rsidR="00304814" w:rsidRDefault="000633BC">
      <w:pPr>
        <w:spacing w:before="156" w:line="276" w:lineRule="auto"/>
        <w:jc w:val="both"/>
        <w:rPr>
          <w:rFonts w:ascii="Century Gothic" w:eastAsia="Calibri" w:hAnsi="Century Gothic" w:cstheme="minorHAnsi"/>
          <w:color w:val="000000"/>
          <w:sz w:val="22"/>
          <w:szCs w:val="22"/>
          <w:lang w:eastAsia="fr-FR" w:bidi="ar-SA"/>
        </w:rPr>
      </w:pPr>
      <w:bookmarkStart w:id="17" w:name="_Hlk202353023"/>
      <w:r>
        <w:rPr>
          <w:rFonts w:ascii="Century Gothic" w:eastAsia="Calibri" w:hAnsi="Century Gothic" w:cstheme="minorHAnsi"/>
          <w:color w:val="000000"/>
          <w:sz w:val="22"/>
          <w:szCs w:val="22"/>
          <w:lang w:eastAsia="fr-FR" w:bidi="ar-SA"/>
        </w:rPr>
        <w:t>Les étudiants peuvent demander une reproduction mécanique d’une copie d’examen terminal écrit par demande au secrétariat selon un calendrier fixé par la faculté des langues. L’administration dispose de dix semaines pour fournir cette reproduction.</w:t>
      </w:r>
      <w:bookmarkEnd w:id="17"/>
    </w:p>
    <w:p w14:paraId="2908DC48" w14:textId="77777777" w:rsidR="00304814" w:rsidRDefault="00304814">
      <w:pPr>
        <w:spacing w:before="156" w:line="276" w:lineRule="auto"/>
        <w:jc w:val="both"/>
        <w:rPr>
          <w:rFonts w:ascii="Century Gothic" w:eastAsia="Calibri" w:hAnsi="Century Gothic" w:cstheme="minorHAnsi"/>
          <w:color w:val="000000"/>
          <w:sz w:val="22"/>
          <w:szCs w:val="22"/>
          <w:lang w:eastAsia="fr-FR" w:bidi="ar-SA"/>
        </w:rPr>
      </w:pPr>
    </w:p>
    <w:p w14:paraId="53F78DBF" w14:textId="77777777" w:rsidR="00304814" w:rsidRDefault="000633BC">
      <w:pPr>
        <w:pStyle w:val="Titre1"/>
        <w:spacing w:before="156" w:line="276" w:lineRule="auto"/>
        <w:jc w:val="both"/>
        <w:rPr>
          <w:color w:val="auto"/>
        </w:rPr>
      </w:pPr>
      <w:r>
        <w:rPr>
          <w:rFonts w:eastAsia="Times New Roman" w:cstheme="minorHAnsi"/>
          <w:b/>
          <w:color w:val="000000"/>
          <w:sz w:val="22"/>
          <w:szCs w:val="22"/>
          <w:u w:val="single"/>
          <w:lang w:eastAsia="fr-FR" w:bidi="ar-SA"/>
        </w:rPr>
        <w:t>IV – OBTENTION DU DIPLOME</w:t>
      </w:r>
    </w:p>
    <w:p w14:paraId="5B05BF30" w14:textId="77777777" w:rsidR="00304814" w:rsidRDefault="000633BC">
      <w:pPr>
        <w:pStyle w:val="Titre1"/>
        <w:numPr>
          <w:ilvl w:val="0"/>
          <w:numId w:val="18"/>
        </w:numPr>
        <w:spacing w:before="156" w:line="276" w:lineRule="auto"/>
        <w:ind w:left="0" w:firstLine="0"/>
        <w:jc w:val="both"/>
        <w:rPr>
          <w:color w:val="auto"/>
        </w:rPr>
      </w:pPr>
      <w:r>
        <w:rPr>
          <w:rFonts w:eastAsia="Times New Roman" w:cstheme="minorHAnsi"/>
          <w:b/>
          <w:color w:val="000000"/>
          <w:sz w:val="22"/>
          <w:szCs w:val="22"/>
          <w:lang w:eastAsia="fr-FR" w:bidi="ar-SA"/>
        </w:rPr>
        <w:t>Capitalisation et compensation</w:t>
      </w:r>
    </w:p>
    <w:p w14:paraId="0684765F" w14:textId="77777777" w:rsidR="00304814" w:rsidRDefault="000633BC">
      <w:pPr>
        <w:spacing w:before="156" w:line="276" w:lineRule="auto"/>
        <w:jc w:val="both"/>
        <w:rPr>
          <w:rFonts w:ascii="Century Gothic" w:hAnsi="Century Gothic"/>
        </w:rPr>
      </w:pPr>
      <w:r>
        <w:rPr>
          <w:rFonts w:ascii="Century Gothic" w:eastAsia="Calibri" w:hAnsi="Century Gothic" w:cstheme="minorHAnsi"/>
          <w:bCs/>
          <w:i/>
          <w:iCs/>
          <w:color w:val="000000"/>
          <w:sz w:val="22"/>
          <w:szCs w:val="22"/>
          <w:lang w:bidi="ar-SA"/>
        </w:rPr>
        <w:t>Lorsqu’un(e) étudiant/e est entré(e) par équivalence en 2ème année ou 3ème année de Licence, il est tenu compte des crédits et des notes obtenu/es. Lorsque les notes antérieures de l’étudiant/e ne sont pas transférables, l’obtention de la Licence résulte des seules notes obtenues à Lyon 3.</w:t>
      </w:r>
    </w:p>
    <w:p w14:paraId="22BDDD80" w14:textId="77777777" w:rsidR="00304814" w:rsidRDefault="000633BC">
      <w:pPr>
        <w:spacing w:before="156" w:line="276" w:lineRule="auto"/>
        <w:jc w:val="both"/>
        <w:rPr>
          <w:rFonts w:ascii="Century Gothic" w:hAnsi="Century Gothic"/>
        </w:rPr>
      </w:pPr>
      <w:r>
        <w:rPr>
          <w:rFonts w:ascii="Century Gothic" w:eastAsia="Calibri" w:hAnsi="Century Gothic" w:cstheme="minorHAnsi"/>
          <w:bCs/>
          <w:color w:val="000000"/>
          <w:sz w:val="22"/>
          <w:szCs w:val="22"/>
          <w:u w:val="single"/>
          <w:lang w:bidi="ar-SA"/>
        </w:rPr>
        <w:t>Article 1</w:t>
      </w:r>
      <w:r>
        <w:rPr>
          <w:rFonts w:ascii="Century Gothic" w:eastAsia="Calibri" w:hAnsi="Century Gothic" w:cstheme="minorHAnsi"/>
          <w:bCs/>
          <w:color w:val="000000"/>
          <w:sz w:val="22"/>
          <w:szCs w:val="22"/>
          <w:lang w:bidi="ar-SA"/>
        </w:rPr>
        <w:t xml:space="preserve">. </w:t>
      </w:r>
    </w:p>
    <w:p w14:paraId="68E739CF" w14:textId="77777777" w:rsidR="00304814" w:rsidRDefault="000633BC">
      <w:pPr>
        <w:spacing w:before="156" w:line="276" w:lineRule="auto"/>
        <w:jc w:val="both"/>
        <w:rPr>
          <w:rFonts w:ascii="Century Gothic" w:hAnsi="Century Gothic"/>
        </w:rPr>
      </w:pPr>
      <w:r>
        <w:rPr>
          <w:rFonts w:ascii="Century Gothic" w:eastAsia="Calibri" w:hAnsi="Century Gothic" w:cstheme="minorHAnsi"/>
          <w:b/>
          <w:color w:val="000000"/>
          <w:sz w:val="22"/>
          <w:szCs w:val="22"/>
          <w:lang w:bidi="ar-SA"/>
        </w:rPr>
        <w:t xml:space="preserve">Il n’y a pas de système de compensation entre majeure et mineure. Cependant une compensation entre les deux semestres existe au sein des majeures d’une part et des mineures d’autre part. </w:t>
      </w:r>
    </w:p>
    <w:p w14:paraId="09A1B0E4" w14:textId="77777777" w:rsidR="00304814" w:rsidRDefault="000633BC">
      <w:pPr>
        <w:spacing w:before="156" w:line="276" w:lineRule="auto"/>
        <w:jc w:val="both"/>
        <w:rPr>
          <w:rFonts w:ascii="Century Gothic" w:hAnsi="Century Gothic"/>
        </w:rPr>
      </w:pPr>
      <w:r>
        <w:rPr>
          <w:rFonts w:ascii="Century Gothic" w:eastAsia="Calibri" w:hAnsi="Century Gothic" w:cstheme="minorHAnsi"/>
          <w:bCs/>
          <w:color w:val="000000"/>
          <w:sz w:val="22"/>
          <w:szCs w:val="22"/>
          <w:u w:val="single"/>
          <w:lang w:bidi="ar-SA"/>
        </w:rPr>
        <w:t>Article 2</w:t>
      </w:r>
      <w:r>
        <w:rPr>
          <w:rFonts w:ascii="Century Gothic" w:eastAsia="Calibri" w:hAnsi="Century Gothic" w:cstheme="minorHAnsi"/>
          <w:bCs/>
          <w:color w:val="000000"/>
          <w:sz w:val="22"/>
          <w:szCs w:val="22"/>
          <w:lang w:bidi="ar-SA"/>
        </w:rPr>
        <w:t xml:space="preserve">. </w:t>
      </w:r>
    </w:p>
    <w:p w14:paraId="1B0BC384" w14:textId="77777777" w:rsidR="00304814" w:rsidRDefault="000633BC">
      <w:pPr>
        <w:spacing w:before="156" w:line="276" w:lineRule="auto"/>
        <w:jc w:val="both"/>
        <w:rPr>
          <w:rFonts w:ascii="Century Gothic" w:hAnsi="Century Gothic"/>
        </w:rPr>
      </w:pPr>
      <w:r>
        <w:rPr>
          <w:rFonts w:ascii="Century Gothic" w:eastAsia="Calibri" w:hAnsi="Century Gothic" w:cstheme="minorHAnsi"/>
          <w:bCs/>
          <w:color w:val="000000"/>
          <w:sz w:val="22"/>
          <w:szCs w:val="22"/>
          <w:lang w:bidi="ar-SA"/>
        </w:rPr>
        <w:t xml:space="preserve">L’obtention de la licence résulte de l’acquisition, par capitalisation d’UE et des crédits européens correspondants, de chacun des 6 semestres décomposant le diplôme, soit 180 crédits. </w:t>
      </w:r>
    </w:p>
    <w:p w14:paraId="2D586AA2"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u w:val="single"/>
          <w:lang w:bidi="ar-SA"/>
        </w:rPr>
        <w:t>Article 3</w:t>
      </w:r>
      <w:r>
        <w:rPr>
          <w:rFonts w:ascii="Century Gothic" w:eastAsia="Calibri" w:hAnsi="Century Gothic" w:cstheme="minorHAnsi"/>
          <w:color w:val="000000"/>
          <w:sz w:val="22"/>
          <w:szCs w:val="22"/>
          <w:lang w:bidi="ar-SA"/>
        </w:rPr>
        <w:t xml:space="preserve">. </w:t>
      </w:r>
    </w:p>
    <w:p w14:paraId="33FF8DDD"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Les UE sont définitivement acquises et capitalisables dès que l’étudiant y a obtenu la moyenne. </w:t>
      </w:r>
    </w:p>
    <w:p w14:paraId="6DF215EC"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Les crédits d’une </w:t>
      </w:r>
      <w:r>
        <w:rPr>
          <w:rFonts w:ascii="Century Gothic" w:eastAsia="Calibri" w:hAnsi="Century Gothic" w:cstheme="minorHAnsi"/>
          <w:b/>
          <w:color w:val="000000"/>
          <w:sz w:val="22"/>
          <w:szCs w:val="22"/>
          <w:lang w:bidi="ar-SA"/>
        </w:rPr>
        <w:t>matière</w:t>
      </w:r>
      <w:r>
        <w:rPr>
          <w:rFonts w:ascii="Century Gothic" w:eastAsia="Calibri" w:hAnsi="Century Gothic" w:cstheme="minorHAnsi"/>
          <w:color w:val="000000"/>
          <w:sz w:val="22"/>
          <w:szCs w:val="22"/>
          <w:lang w:bidi="ar-SA"/>
        </w:rPr>
        <w:t xml:space="preserve"> à l’intérieur d’une U.E. sont validés si l’étudiant obtient une moyenne supérieure ou égale à 10/20 sur l’ensemble des notes de la matière (C.C./E.E./E.O. et/ou T.E. ou T.O.). La note globale d’une matière est calculée en tenant compte des coefficients affectés à l’un et à l’autre des modalités de contrôle des connaissances et des compétences (C.C. ; E.E. ; T.E. ; T.O.).</w:t>
      </w:r>
    </w:p>
    <w:p w14:paraId="7B3FF93D"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Les crédits d’une </w:t>
      </w:r>
      <w:r>
        <w:rPr>
          <w:rFonts w:ascii="Century Gothic" w:eastAsia="Calibri" w:hAnsi="Century Gothic" w:cstheme="minorHAnsi"/>
          <w:b/>
          <w:color w:val="000000"/>
          <w:sz w:val="22"/>
          <w:szCs w:val="22"/>
          <w:lang w:bidi="ar-SA"/>
        </w:rPr>
        <w:t>U.E.</w:t>
      </w:r>
      <w:r>
        <w:rPr>
          <w:rFonts w:ascii="Century Gothic" w:eastAsia="Calibri" w:hAnsi="Century Gothic" w:cstheme="minorHAnsi"/>
          <w:color w:val="000000"/>
          <w:sz w:val="22"/>
          <w:szCs w:val="22"/>
          <w:lang w:bidi="ar-SA"/>
        </w:rPr>
        <w:t xml:space="preserve"> sont validés si une moyenne supérieure ou égale à 10/20 est obtenue par compensation des notes entre les matières constituant l’U.E.</w:t>
      </w:r>
    </w:p>
    <w:p w14:paraId="604998C3"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L’étudiant ne peut pas se réinscrire dans les matières qu’il a validées. Il doit en revanche se réinscrire dans le ou les semestres de licence où il n’a pas acquis la totalité des crédits ECTS.</w:t>
      </w:r>
    </w:p>
    <w:p w14:paraId="02765792"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u w:val="single"/>
          <w:lang w:bidi="ar-SA"/>
        </w:rPr>
        <w:t>Article 4.</w:t>
      </w:r>
    </w:p>
    <w:p w14:paraId="110A30A4"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lastRenderedPageBreak/>
        <w:t>Pour valider la première année de licence, l’étudiant doit capitaliser 60 ECTS.</w:t>
      </w:r>
    </w:p>
    <w:p w14:paraId="4EF8CAB0"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Pour valider la deuxième année de licence, l’étudiant doit capitaliser 120 ECTS.</w:t>
      </w:r>
    </w:p>
    <w:p w14:paraId="39849AE1"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Pour valider la troisième année de licence et le diplôme, l’étudiant doit capitaliser 180 ECTS.</w:t>
      </w:r>
    </w:p>
    <w:p w14:paraId="2F367485"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Au terme de la totalité du parcours de licence, la validation du diplôme donne lieu à l’attribution des mentions suivantes :</w:t>
      </w:r>
    </w:p>
    <w:p w14:paraId="5720D06E"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Mention Passable : moyenne générale comprise entre 10 et 12/20</w:t>
      </w:r>
    </w:p>
    <w:p w14:paraId="20E8FC0E"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Mention Assez Bien : moyenne générale comprise entre 12 et 14/20</w:t>
      </w:r>
    </w:p>
    <w:p w14:paraId="251A74BD"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Mention Bien : moyenne générale comprise entre 14 et 16/20</w:t>
      </w:r>
    </w:p>
    <w:p w14:paraId="02FD2D5D"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Mention Très Bien : moyenne générale comprise entre 16 et 20/20</w:t>
      </w:r>
    </w:p>
    <w:p w14:paraId="45C1ECD3"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L’étudiant peut obtenir, à sa demande, le </w:t>
      </w:r>
      <w:r>
        <w:rPr>
          <w:rFonts w:ascii="Century Gothic" w:eastAsia="Calibri" w:hAnsi="Century Gothic" w:cstheme="minorHAnsi"/>
          <w:b/>
          <w:color w:val="000000"/>
          <w:sz w:val="22"/>
          <w:szCs w:val="22"/>
          <w:lang w:bidi="ar-SA"/>
        </w:rPr>
        <w:t>titre du D.E.U.G.</w:t>
      </w:r>
      <w:r>
        <w:rPr>
          <w:rFonts w:ascii="Century Gothic" w:eastAsia="Calibri" w:hAnsi="Century Gothic" w:cstheme="minorHAnsi"/>
          <w:color w:val="000000"/>
          <w:sz w:val="22"/>
          <w:szCs w:val="22"/>
          <w:lang w:bidi="ar-SA"/>
        </w:rPr>
        <w:t xml:space="preserve"> s’il a validé les quatre premiers semestres par une capitalisation de 120 crédits.</w:t>
      </w:r>
    </w:p>
    <w:p w14:paraId="3BA742A8"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u w:val="single"/>
          <w:lang w:bidi="ar-SA"/>
        </w:rPr>
        <w:t>Article 5</w:t>
      </w:r>
      <w:r>
        <w:rPr>
          <w:rFonts w:ascii="Century Gothic" w:eastAsia="Calibri" w:hAnsi="Century Gothic" w:cstheme="minorHAnsi"/>
          <w:color w:val="000000"/>
          <w:sz w:val="22"/>
          <w:szCs w:val="22"/>
          <w:lang w:bidi="ar-SA"/>
        </w:rPr>
        <w:t>. Double cursus GESTION/LEA</w:t>
      </w:r>
    </w:p>
    <w:p w14:paraId="1AB4F602"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b/>
          <w:i/>
          <w:color w:val="000000"/>
          <w:sz w:val="22"/>
          <w:szCs w:val="22"/>
          <w:lang w:eastAsia="fr-FR" w:bidi="ar-SA"/>
        </w:rPr>
        <w:t>Le double cursus n’est pas compatible avec une licence LEA cursus 4 ans</w:t>
      </w:r>
      <w:r>
        <w:rPr>
          <w:rFonts w:ascii="Century Gothic" w:eastAsia="Times New Roman" w:hAnsi="Century Gothic" w:cstheme="minorHAnsi"/>
          <w:color w:val="000000"/>
          <w:sz w:val="22"/>
          <w:szCs w:val="22"/>
          <w:lang w:eastAsia="fr-FR" w:bidi="ar-SA"/>
        </w:rPr>
        <w:t>.</w:t>
      </w:r>
    </w:p>
    <w:p w14:paraId="2B4E6F70"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Reconstitution de la mineure pour le Double-Cursus Gestion et LEA :</w:t>
      </w:r>
    </w:p>
    <w:p w14:paraId="7B15E4D0"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Pour chaque semestre, l’étudiant ayant obtenu la moyenne à la majeure Gestion (20 crédits acquis) et à la majeure LEA (20 crédits) valide 10 crédits au titre de la mineure par équivalence sur chacune de ses licences.</w:t>
      </w:r>
    </w:p>
    <w:p w14:paraId="11F80A8F"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b/>
          <w:color w:val="000000"/>
          <w:sz w:val="22"/>
          <w:szCs w:val="22"/>
          <w:u w:val="single"/>
          <w:lang w:eastAsia="fr-FR" w:bidi="ar-SA"/>
        </w:rPr>
        <w:t>Lors d’une année universitaire, l’étudiant doit obligatoirement être inscrit dans les mêmes semestres pour chacun des cursus</w:t>
      </w:r>
    </w:p>
    <w:p w14:paraId="73B9C153" w14:textId="77777777" w:rsidR="00304814" w:rsidRDefault="00304814">
      <w:pPr>
        <w:spacing w:before="156" w:line="276" w:lineRule="auto"/>
        <w:jc w:val="both"/>
        <w:rPr>
          <w:rFonts w:ascii="Century Gothic" w:hAnsi="Century Gothic"/>
          <w:sz w:val="22"/>
          <w:szCs w:val="22"/>
          <w:lang w:bidi="ar-SA"/>
        </w:rPr>
      </w:pPr>
    </w:p>
    <w:p w14:paraId="383A81E4" w14:textId="77777777" w:rsidR="00304814" w:rsidRDefault="000633BC">
      <w:pPr>
        <w:pStyle w:val="Paragraphedeliste"/>
        <w:numPr>
          <w:ilvl w:val="0"/>
          <w:numId w:val="18"/>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bidi="ar-SA"/>
        </w:rPr>
        <w:t xml:space="preserve">Règle de progression </w:t>
      </w:r>
    </w:p>
    <w:p w14:paraId="3795E1AB"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Un étudiant ayant validé les deux semestres de L1 (60 crédits ECTS) peut s’inscrire automatiquement en L2. Un étudiant ayant validé ses quatre premiers semestres de Licence (120 crédits ECTS) peut s’inscrire automatiquement en L3.</w:t>
      </w:r>
    </w:p>
    <w:p w14:paraId="0BFF2ECC" w14:textId="77777777" w:rsidR="00304814" w:rsidRDefault="000633BC">
      <w:pPr>
        <w:keepNext/>
        <w:keepLines/>
        <w:spacing w:before="156" w:line="276" w:lineRule="auto"/>
        <w:jc w:val="both"/>
        <w:outlineLvl w:val="2"/>
        <w:rPr>
          <w:rFonts w:ascii="Century Gothic" w:hAnsi="Century Gothic"/>
        </w:rPr>
      </w:pPr>
      <w:bookmarkStart w:id="18" w:name="_Toc140750715"/>
      <w:r>
        <w:rPr>
          <w:rFonts w:ascii="Century Gothic" w:eastAsiaTheme="majorEastAsia" w:hAnsi="Century Gothic" w:cstheme="minorHAnsi"/>
          <w:b/>
          <w:color w:val="000000"/>
          <w:sz w:val="22"/>
          <w:szCs w:val="22"/>
          <w:lang w:bidi="ar-SA"/>
        </w:rPr>
        <w:t>1. Progression par dérogation (statut AJAC)</w:t>
      </w:r>
      <w:bookmarkEnd w:id="18"/>
    </w:p>
    <w:p w14:paraId="57B2FB22" w14:textId="77777777" w:rsidR="00304814" w:rsidRDefault="000633BC">
      <w:pPr>
        <w:spacing w:before="156" w:line="276" w:lineRule="auto"/>
        <w:jc w:val="both"/>
        <w:rPr>
          <w:rFonts w:ascii="Century Gothic" w:hAnsi="Century Gothic"/>
        </w:rPr>
      </w:pPr>
      <w:r>
        <w:rPr>
          <w:rFonts w:ascii="Century Gothic" w:eastAsia="Calibri" w:hAnsi="Century Gothic" w:cstheme="minorHAnsi"/>
          <w:b/>
          <w:bCs/>
          <w:color w:val="000000"/>
          <w:sz w:val="22"/>
          <w:szCs w:val="22"/>
          <w:lang w:bidi="ar-SA"/>
        </w:rPr>
        <w:t>Le passage à l’année supérieure se fait à condition d’avoir validé les deux semestres de Majeure, soit 40 crédits.</w:t>
      </w:r>
      <w:r>
        <w:rPr>
          <w:rFonts w:ascii="Century Gothic" w:eastAsia="Calibri" w:hAnsi="Century Gothic" w:cstheme="minorHAnsi"/>
          <w:color w:val="000000"/>
          <w:sz w:val="22"/>
          <w:szCs w:val="22"/>
          <w:lang w:bidi="ar-SA"/>
        </w:rPr>
        <w:t xml:space="preserve"> L’autorisation de poursuivre en L2 ou en L3 malgré un déficit de crédits non acquis en L1 ou en L2 (statut d’AJAC : Ajourné Admis à Continuer) est conditionnée par l’obtention des 40 ECTS de la Majeure, par conséquent un étudiant ne peut obtenir le statut AJAC qu’en cas de déficit de crédits sur la mineure.</w:t>
      </w:r>
    </w:p>
    <w:p w14:paraId="08593BF2" w14:textId="77777777" w:rsidR="00304814" w:rsidRDefault="000633BC">
      <w:pPr>
        <w:spacing w:before="156" w:line="276" w:lineRule="auto"/>
        <w:jc w:val="both"/>
        <w:rPr>
          <w:rFonts w:ascii="Century Gothic" w:hAnsi="Century Gothic"/>
        </w:rPr>
      </w:pPr>
      <w:r>
        <w:rPr>
          <w:rFonts w:ascii="Century Gothic" w:eastAsia="Calibri" w:hAnsi="Century Gothic" w:cstheme="minorHAnsi"/>
          <w:b/>
          <w:bCs/>
          <w:color w:val="000000"/>
          <w:sz w:val="22"/>
          <w:szCs w:val="22"/>
          <w:lang w:bidi="ar-SA"/>
        </w:rPr>
        <w:lastRenderedPageBreak/>
        <w:t>Le passage de la L1 à la L2</w:t>
      </w:r>
      <w:r>
        <w:rPr>
          <w:rFonts w:ascii="Century Gothic" w:eastAsia="Calibri" w:hAnsi="Century Gothic" w:cstheme="minorHAnsi"/>
          <w:color w:val="000000"/>
          <w:sz w:val="22"/>
          <w:szCs w:val="22"/>
          <w:lang w:bidi="ar-SA"/>
        </w:rPr>
        <w:t xml:space="preserve"> : L’étudiant pourra s’inscrire en deuxième année de la Licence à condition d’avoir validé les 40 ECTS de la Majeure de la L1. Il peut être considéré comme AJAC uniquement s’il n’a pas validé les ECTS de la Mineure, au semestre ou à l’année.</w:t>
      </w:r>
    </w:p>
    <w:p w14:paraId="625D584D" w14:textId="77777777" w:rsidR="00304814" w:rsidRDefault="000633BC">
      <w:pPr>
        <w:spacing w:before="156" w:line="276" w:lineRule="auto"/>
        <w:jc w:val="both"/>
        <w:rPr>
          <w:rFonts w:ascii="Century Gothic" w:hAnsi="Century Gothic"/>
        </w:rPr>
      </w:pPr>
      <w:r>
        <w:rPr>
          <w:rFonts w:ascii="Century Gothic" w:eastAsia="Calibri" w:hAnsi="Century Gothic" w:cstheme="minorHAnsi"/>
          <w:b/>
          <w:bCs/>
          <w:color w:val="000000"/>
          <w:sz w:val="22"/>
          <w:szCs w:val="22"/>
          <w:lang w:bidi="ar-SA"/>
        </w:rPr>
        <w:t>Le passage de la L2 à la L3</w:t>
      </w:r>
      <w:r>
        <w:rPr>
          <w:rFonts w:ascii="Century Gothic" w:eastAsia="Calibri" w:hAnsi="Century Gothic" w:cstheme="minorHAnsi"/>
          <w:color w:val="000000"/>
          <w:sz w:val="22"/>
          <w:szCs w:val="22"/>
          <w:lang w:bidi="ar-SA"/>
        </w:rPr>
        <w:t xml:space="preserve"> :  L’étudiant pourra s’inscrire en troisième année de la Licence à condition d’avoir validé les 40 ECTS de la Majeure de la L2 et l’ensemble des 60 ECTS de la L1. </w:t>
      </w:r>
    </w:p>
    <w:p w14:paraId="32117450"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Un étudiant ne peut être inscrit dans plus de quatre semestres consécutifs.</w:t>
      </w:r>
    </w:p>
    <w:p w14:paraId="62A801F1"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En cas d’AJAC, les emplois du temps des Mineures sur plusieurs semestres ne sont pas toujours compatibles. L’étudiant est </w:t>
      </w:r>
      <w:r>
        <w:rPr>
          <w:rFonts w:ascii="Century Gothic" w:eastAsia="Calibri" w:hAnsi="Century Gothic" w:cstheme="minorHAnsi"/>
          <w:b/>
          <w:bCs/>
          <w:color w:val="000000"/>
          <w:sz w:val="22"/>
          <w:szCs w:val="22"/>
          <w:lang w:bidi="ar-SA"/>
        </w:rPr>
        <w:t>tenu de suivre en priorité les matières non acquises de l’année précédente.</w:t>
      </w:r>
    </w:p>
    <w:p w14:paraId="625F756E" w14:textId="77777777" w:rsidR="00304814" w:rsidRDefault="000633BC">
      <w:pPr>
        <w:keepNext/>
        <w:keepLines/>
        <w:spacing w:before="156" w:line="276" w:lineRule="auto"/>
        <w:jc w:val="both"/>
        <w:outlineLvl w:val="2"/>
        <w:rPr>
          <w:rFonts w:ascii="Century Gothic" w:hAnsi="Century Gothic"/>
        </w:rPr>
      </w:pPr>
      <w:bookmarkStart w:id="19" w:name="_Toc140750716"/>
      <w:r>
        <w:rPr>
          <w:rFonts w:ascii="Century Gothic" w:eastAsiaTheme="majorEastAsia" w:hAnsi="Century Gothic" w:cstheme="minorHAnsi"/>
          <w:b/>
          <w:color w:val="000000"/>
          <w:sz w:val="22"/>
          <w:szCs w:val="22"/>
          <w:lang w:bidi="ar-SA"/>
        </w:rPr>
        <w:t>2. Les cursus « Grands débutants » en 4 ans</w:t>
      </w:r>
      <w:bookmarkEnd w:id="19"/>
      <w:r>
        <w:rPr>
          <w:rFonts w:ascii="Century Gothic" w:eastAsiaTheme="majorEastAsia" w:hAnsi="Century Gothic" w:cstheme="minorHAnsi"/>
          <w:b/>
          <w:bCs/>
          <w:color w:val="000000"/>
          <w:sz w:val="22"/>
          <w:szCs w:val="22"/>
          <w:lang w:bidi="ar-SA"/>
        </w:rPr>
        <w:t> </w:t>
      </w:r>
    </w:p>
    <w:p w14:paraId="0328F8F9" w14:textId="77777777" w:rsidR="00304814" w:rsidRDefault="000633BC">
      <w:pPr>
        <w:spacing w:before="156" w:line="276" w:lineRule="auto"/>
        <w:jc w:val="both"/>
        <w:rPr>
          <w:rFonts w:ascii="Century Gothic" w:hAnsi="Century Gothic"/>
        </w:rPr>
      </w:pPr>
      <w:bookmarkStart w:id="20" w:name="_Hlk140687383"/>
      <w:r>
        <w:rPr>
          <w:rFonts w:ascii="Century Gothic" w:eastAsia="Calibri" w:hAnsi="Century Gothic" w:cstheme="minorHAnsi"/>
          <w:color w:val="000000"/>
          <w:sz w:val="22"/>
          <w:szCs w:val="22"/>
          <w:lang w:bidi="ar-SA"/>
        </w:rPr>
        <w:t>Le passage de l’année préparatoire à la L1 est conditionné à l’obtention de la moyenne dans les enseignements « Connaissance de la langue ».</w:t>
      </w:r>
      <w:bookmarkEnd w:id="20"/>
    </w:p>
    <w:p w14:paraId="55E40D2C" w14:textId="77777777" w:rsidR="00304814" w:rsidRDefault="00304814">
      <w:pPr>
        <w:spacing w:before="156" w:line="276" w:lineRule="auto"/>
        <w:jc w:val="both"/>
        <w:rPr>
          <w:rFonts w:ascii="Century Gothic" w:eastAsia="Calibri" w:hAnsi="Century Gothic"/>
          <w:sz w:val="22"/>
          <w:szCs w:val="22"/>
          <w:lang w:bidi="ar-SA"/>
        </w:rPr>
      </w:pPr>
    </w:p>
    <w:p w14:paraId="28DA2AFA" w14:textId="77777777" w:rsidR="00304814" w:rsidRDefault="000633BC">
      <w:pPr>
        <w:pStyle w:val="Paragraphedeliste"/>
        <w:numPr>
          <w:ilvl w:val="0"/>
          <w:numId w:val="18"/>
        </w:numPr>
        <w:spacing w:before="156" w:line="276" w:lineRule="auto"/>
        <w:ind w:left="0" w:firstLine="0"/>
        <w:contextualSpacing w:val="0"/>
        <w:jc w:val="both"/>
        <w:rPr>
          <w:rFonts w:ascii="Century Gothic" w:hAnsi="Century Gothic"/>
        </w:rPr>
      </w:pPr>
      <w:r>
        <w:rPr>
          <w:rFonts w:ascii="Century Gothic" w:eastAsia="Calibri" w:hAnsi="Century Gothic" w:cstheme="minorHAnsi"/>
          <w:b/>
          <w:color w:val="000000"/>
          <w:sz w:val="22"/>
          <w:szCs w:val="22"/>
          <w:lang w:eastAsia="fr-FR" w:bidi="ar-SA"/>
        </w:rPr>
        <w:t>Délibération de jury</w:t>
      </w:r>
    </w:p>
    <w:p w14:paraId="54AF8911"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Les délibérations ont lieu à la fin de chaque semestre. Le jury peut accorder des Délibérations Spéciales du Jury (DSJ) au niveau des UE et/ou du semestre et/ou de l’année. Cette DSJ permet d’obtenir tous les crédits de l’U.E., du semestre ou de cette année. L’étudiant ne devra donc pas repasser les examens des matières constitutives de cette U.E. ou de ce semestre. Toutefois la moyenne réellement obtenue est conservée. De la même manière, le jury peut accorder une DSJ globale sur l’ensemble de la licence au terme des 6 semestres constitutifs de cette dernière. Il peut également accorder une DSJ sur la mention de DEUG ou de Licence.</w:t>
      </w:r>
    </w:p>
    <w:p w14:paraId="6D2A3F9E"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eastAsia="fr-FR" w:bidi="ar-SA"/>
        </w:rPr>
        <w:t>Un jury d’examen est souverain et est seul compétent pour déclarer qu’un étudiant est admis ou non aux examens. Les délibérations du jury sont secrètes. Les décisions d’admission ou d’ajournement d’un candidat n’ont pas à être motivées. Elles ne peuvent pas être remises en cause ni par les étudiants, ni par le Doyen. Une correction d’erreur matérielle est toutefois possible.</w:t>
      </w:r>
    </w:p>
    <w:p w14:paraId="08D78690"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 xml:space="preserve">Après la proclamation des résultats, un relevé de notes est délivré via intranet aux étudiants. </w:t>
      </w:r>
    </w:p>
    <w:p w14:paraId="4F520705"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 xml:space="preserve">L’étudiant obtient </w:t>
      </w:r>
      <w:r>
        <w:rPr>
          <w:rFonts w:eastAsia="Times New Roman" w:cstheme="minorHAnsi"/>
          <w:color w:val="000000"/>
          <w:sz w:val="22"/>
          <w:szCs w:val="22"/>
          <w:u w:val="single"/>
          <w:lang w:eastAsia="fr-FR" w:bidi="ar-SA"/>
        </w:rPr>
        <w:t>le titre de DEUG</w:t>
      </w:r>
      <w:r>
        <w:rPr>
          <w:rFonts w:eastAsia="Times New Roman" w:cstheme="minorHAnsi"/>
          <w:color w:val="000000"/>
          <w:sz w:val="22"/>
          <w:szCs w:val="22"/>
          <w:lang w:eastAsia="fr-FR" w:bidi="ar-SA"/>
        </w:rPr>
        <w:t xml:space="preserve"> dès lors qu’il a validé les 120 crédits des semestres 1 à 4. La délivrance du DEUG n’est pas automatique, l’étudiant doit en faire la demande.</w:t>
      </w:r>
    </w:p>
    <w:p w14:paraId="18E43A50"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 xml:space="preserve">L’étudiant obtient </w:t>
      </w:r>
      <w:r>
        <w:rPr>
          <w:rFonts w:eastAsia="Times New Roman" w:cstheme="minorHAnsi"/>
          <w:color w:val="000000"/>
          <w:sz w:val="22"/>
          <w:szCs w:val="22"/>
          <w:u w:val="single"/>
          <w:lang w:eastAsia="fr-FR" w:bidi="ar-SA"/>
        </w:rPr>
        <w:t>le grade de Licence</w:t>
      </w:r>
      <w:r>
        <w:rPr>
          <w:rFonts w:eastAsia="Times New Roman" w:cstheme="minorHAnsi"/>
          <w:color w:val="000000"/>
          <w:sz w:val="22"/>
          <w:szCs w:val="22"/>
          <w:lang w:eastAsia="fr-FR" w:bidi="ar-SA"/>
        </w:rPr>
        <w:t xml:space="preserve"> dès lors qu’il a validé chacun des 6 semestres constitutifs du diplôme. </w:t>
      </w:r>
    </w:p>
    <w:p w14:paraId="069DCD55" w14:textId="77777777" w:rsidR="00304814" w:rsidRDefault="000633BC">
      <w:pPr>
        <w:pStyle w:val="Titre1"/>
        <w:spacing w:before="156" w:line="276" w:lineRule="auto"/>
        <w:jc w:val="both"/>
        <w:rPr>
          <w:color w:val="auto"/>
        </w:rPr>
      </w:pPr>
      <w:r>
        <w:rPr>
          <w:rFonts w:eastAsia="Times New Roman" w:cstheme="minorHAnsi"/>
          <w:color w:val="000000"/>
          <w:sz w:val="22"/>
          <w:szCs w:val="22"/>
          <w:lang w:eastAsia="fr-FR" w:bidi="ar-SA"/>
        </w:rPr>
        <w:t>Le diplôme de Licence est accompagné d’un descriptif des connaissances et aptitudes acquises (« supplément au diplôme »).</w:t>
      </w:r>
    </w:p>
    <w:p w14:paraId="6EDAE72E"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u w:val="single"/>
          <w:lang w:eastAsia="fr-FR" w:bidi="ar-SA"/>
        </w:rPr>
        <w:lastRenderedPageBreak/>
        <w:t>Spécificité pour le parcours « Commerce International »</w:t>
      </w:r>
    </w:p>
    <w:p w14:paraId="5EE3BD7B"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 xml:space="preserve">Pour le parcours « Commerce International » les délibérations ont lieu à la fin du semestre 5. </w:t>
      </w:r>
    </w:p>
    <w:p w14:paraId="61E8F591"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Pour le semestre pair, les délibérations ont lieu en septembre après la saisie des notes de stage. Néanmoins, un relevé de notes provisoire sera délivré à la fin du semestre pair.</w:t>
      </w:r>
    </w:p>
    <w:p w14:paraId="4121AC5E" w14:textId="77777777" w:rsidR="00304814" w:rsidRDefault="00304814">
      <w:pPr>
        <w:spacing w:before="156" w:line="276" w:lineRule="auto"/>
        <w:jc w:val="both"/>
        <w:rPr>
          <w:rFonts w:ascii="Century Gothic" w:hAnsi="Century Gothic"/>
          <w:sz w:val="22"/>
          <w:szCs w:val="22"/>
          <w:lang w:bidi="ar-SA"/>
        </w:rPr>
      </w:pPr>
    </w:p>
    <w:p w14:paraId="43DE732E" w14:textId="77777777" w:rsidR="00304814" w:rsidRDefault="000633BC">
      <w:pPr>
        <w:pStyle w:val="Titre1"/>
        <w:spacing w:before="156" w:line="276" w:lineRule="auto"/>
        <w:jc w:val="both"/>
        <w:rPr>
          <w:color w:val="auto"/>
        </w:rPr>
      </w:pPr>
      <w:r>
        <w:rPr>
          <w:rFonts w:eastAsia="Times New Roman" w:cstheme="minorHAnsi"/>
          <w:b/>
          <w:color w:val="000000"/>
          <w:sz w:val="22"/>
          <w:szCs w:val="22"/>
          <w:u w:val="single"/>
          <w:lang w:eastAsia="fr-FR" w:bidi="ar-SA"/>
        </w:rPr>
        <w:t>V – DISPOSITIONS DIVERSES</w:t>
      </w:r>
    </w:p>
    <w:p w14:paraId="47F58E2B" w14:textId="77777777" w:rsidR="00304814" w:rsidRDefault="000633BC">
      <w:pPr>
        <w:pStyle w:val="Titre1"/>
        <w:numPr>
          <w:ilvl w:val="0"/>
          <w:numId w:val="19"/>
        </w:numPr>
        <w:spacing w:before="156" w:line="276" w:lineRule="auto"/>
        <w:ind w:left="0" w:firstLine="0"/>
        <w:jc w:val="both"/>
        <w:rPr>
          <w:color w:val="auto"/>
        </w:rPr>
      </w:pPr>
      <w:r>
        <w:rPr>
          <w:rFonts w:eastAsia="Times New Roman" w:cstheme="minorHAnsi"/>
          <w:b/>
          <w:color w:val="000000"/>
          <w:sz w:val="22"/>
          <w:szCs w:val="22"/>
          <w:u w:val="single"/>
          <w:lang w:eastAsia="fr-FR" w:bidi="ar-SA"/>
        </w:rPr>
        <w:t>Bonifications</w:t>
      </w:r>
    </w:p>
    <w:p w14:paraId="325BD506"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Pour les étudiants inscrits en début de semestre auprès du service des sports de l’Université et suivant avec assiduité les enseignements organisés dans ce cadre, l’évaluation rentre dans le cadre d’une bonification concourant à l’obtention du diplôme. La « </w:t>
      </w:r>
      <w:r>
        <w:rPr>
          <w:rFonts w:ascii="Century Gothic" w:eastAsia="Calibri" w:hAnsi="Century Gothic" w:cstheme="minorHAnsi"/>
          <w:b/>
          <w:bCs/>
          <w:color w:val="000000"/>
          <w:sz w:val="22"/>
          <w:szCs w:val="22"/>
          <w:lang w:bidi="ar-SA"/>
        </w:rPr>
        <w:t>bonification sport</w:t>
      </w:r>
      <w:r>
        <w:rPr>
          <w:rFonts w:ascii="Century Gothic" w:eastAsia="Calibri" w:hAnsi="Century Gothic" w:cstheme="minorHAnsi"/>
          <w:color w:val="000000"/>
          <w:sz w:val="22"/>
          <w:szCs w:val="22"/>
          <w:lang w:bidi="ar-SA"/>
        </w:rPr>
        <w:t xml:space="preserve"> » est prise en compte à chaque semestre : tous les points supérieurs à 10 sont coefficientés 2 et s’ajoutent au total général du semestre.</w:t>
      </w:r>
    </w:p>
    <w:p w14:paraId="08081303"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Les étudiants qui suivent avec assiduité les enseignements du module « </w:t>
      </w:r>
      <w:r>
        <w:rPr>
          <w:rFonts w:ascii="Century Gothic" w:eastAsia="Calibri" w:hAnsi="Century Gothic" w:cstheme="minorHAnsi"/>
          <w:b/>
          <w:bCs/>
          <w:color w:val="000000"/>
          <w:sz w:val="22"/>
          <w:szCs w:val="22"/>
          <w:lang w:bidi="ar-SA"/>
        </w:rPr>
        <w:t>entrepreneuriat</w:t>
      </w:r>
      <w:r>
        <w:rPr>
          <w:rFonts w:ascii="Century Gothic" w:eastAsia="Calibri" w:hAnsi="Century Gothic" w:cstheme="minorHAnsi"/>
          <w:color w:val="000000"/>
          <w:sz w:val="22"/>
          <w:szCs w:val="22"/>
          <w:lang w:bidi="ar-SA"/>
        </w:rPr>
        <w:t xml:space="preserve"> » peuvent bénéficier semestriellement de points supplémentaires de bonification. Tous les points supérieurs à 10/20 sont comptabilisés avec un coefficient 2 et sont ajoutés au total général du semestre.</w:t>
      </w:r>
    </w:p>
    <w:p w14:paraId="38CE06AC" w14:textId="77777777" w:rsidR="00304814" w:rsidRDefault="000633BC">
      <w:pPr>
        <w:spacing w:before="156" w:line="276" w:lineRule="auto"/>
        <w:jc w:val="both"/>
        <w:rPr>
          <w:rFonts w:ascii="Century Gothic" w:hAnsi="Century Gothic"/>
        </w:rPr>
      </w:pPr>
      <w:r>
        <w:rPr>
          <w:rFonts w:ascii="Century Gothic" w:eastAsia="Calibri" w:hAnsi="Century Gothic" w:cstheme="minorHAnsi"/>
          <w:color w:val="000000"/>
          <w:sz w:val="22"/>
          <w:szCs w:val="22"/>
          <w:lang w:bidi="ar-SA"/>
        </w:rPr>
        <w:t xml:space="preserve">Les étudiants qui suivent avec assiduité les enseignements du module « </w:t>
      </w:r>
      <w:r>
        <w:rPr>
          <w:rFonts w:ascii="Century Gothic" w:eastAsia="Calibri" w:hAnsi="Century Gothic" w:cstheme="minorHAnsi"/>
          <w:b/>
          <w:bCs/>
          <w:color w:val="000000"/>
          <w:sz w:val="22"/>
          <w:szCs w:val="22"/>
          <w:lang w:bidi="ar-SA"/>
        </w:rPr>
        <w:t xml:space="preserve">culture </w:t>
      </w:r>
      <w:r>
        <w:rPr>
          <w:rFonts w:ascii="Century Gothic" w:eastAsia="Calibri" w:hAnsi="Century Gothic" w:cstheme="minorHAnsi"/>
          <w:color w:val="000000"/>
          <w:sz w:val="22"/>
          <w:szCs w:val="22"/>
          <w:lang w:bidi="ar-SA"/>
        </w:rPr>
        <w:t>» peuvent bénéficier semestriellement de points supplémentaires de bonification. Tous les points supérieurs à 10/20 sont comptabilisés avec un coefficient 2 et sont ajoutés au total général du semestre.</w:t>
      </w:r>
    </w:p>
    <w:p w14:paraId="52E2D13F" w14:textId="77777777" w:rsidR="00304814" w:rsidRDefault="000633BC">
      <w:pPr>
        <w:spacing w:before="156" w:line="276" w:lineRule="auto"/>
        <w:jc w:val="both"/>
        <w:rPr>
          <w:rFonts w:ascii="Century Gothic" w:eastAsia="Calibri" w:hAnsi="Century Gothic" w:cstheme="minorHAnsi"/>
          <w:color w:val="000000"/>
          <w:sz w:val="22"/>
          <w:szCs w:val="22"/>
          <w:lang w:bidi="ar-SA"/>
        </w:rPr>
      </w:pPr>
      <w:r>
        <w:rPr>
          <w:rFonts w:ascii="Century Gothic" w:eastAsia="Calibri" w:hAnsi="Century Gothic" w:cstheme="minorHAnsi"/>
          <w:color w:val="000000"/>
          <w:sz w:val="22"/>
          <w:szCs w:val="22"/>
          <w:lang w:bidi="ar-SA"/>
        </w:rPr>
        <w:t xml:space="preserve">Les étudiants qui suivent avec assiduité les enseignements du module « </w:t>
      </w:r>
      <w:r>
        <w:rPr>
          <w:rFonts w:ascii="Century Gothic" w:eastAsia="Calibri" w:hAnsi="Century Gothic" w:cstheme="minorHAnsi"/>
          <w:b/>
          <w:bCs/>
          <w:color w:val="000000"/>
          <w:sz w:val="22"/>
          <w:szCs w:val="22"/>
          <w:lang w:bidi="ar-SA"/>
        </w:rPr>
        <w:t>solidarité handicap</w:t>
      </w:r>
      <w:r>
        <w:rPr>
          <w:rFonts w:ascii="Century Gothic" w:eastAsia="Calibri" w:hAnsi="Century Gothic" w:cstheme="minorHAnsi"/>
          <w:color w:val="000000"/>
          <w:sz w:val="22"/>
          <w:szCs w:val="22"/>
          <w:lang w:bidi="ar-SA"/>
        </w:rPr>
        <w:t xml:space="preserve"> » peuvent bénéficier semestriellement de points supplémentaires de bonification. Tous les points supérieurs à 10/20 sont comptabilisés avec un coefficient 2 et sont ajoutés au total général du semestre.</w:t>
      </w:r>
    </w:p>
    <w:p w14:paraId="628232C7" w14:textId="77777777" w:rsidR="00304814" w:rsidRDefault="000633BC">
      <w:pPr>
        <w:spacing w:before="156" w:line="276" w:lineRule="auto"/>
        <w:jc w:val="both"/>
        <w:rPr>
          <w:rFonts w:ascii="Century Gothic" w:eastAsia="Calibri" w:hAnsi="Century Gothic" w:cstheme="minorHAnsi"/>
          <w:color w:val="000000"/>
          <w:sz w:val="22"/>
          <w:szCs w:val="22"/>
          <w:lang w:bidi="ar-SA"/>
        </w:rPr>
      </w:pPr>
      <w:r>
        <w:rPr>
          <w:rFonts w:ascii="Century Gothic" w:eastAsia="Calibri" w:hAnsi="Century Gothic" w:cstheme="minorHAnsi"/>
          <w:color w:val="000000"/>
          <w:sz w:val="22"/>
          <w:szCs w:val="22"/>
          <w:lang w:bidi="ar-SA"/>
        </w:rPr>
        <w:t xml:space="preserve">Les étudiants qui accomplissent un stage non-attributif de crédits ECTS aux semestres trois, quatre ou cinq peuvent bénéficier semestriellement de points supplémentaires de bonification. Tous les points supérieurs à 10/20 sont comptabilisés avec un coefficient 2 et sont ajoutés au total général du semestre. </w:t>
      </w:r>
    </w:p>
    <w:p w14:paraId="37E2F4C7" w14:textId="77777777" w:rsidR="00304814" w:rsidRDefault="000633BC">
      <w:pPr>
        <w:spacing w:before="156" w:line="276" w:lineRule="auto"/>
        <w:jc w:val="both"/>
        <w:rPr>
          <w:rFonts w:ascii="Century Gothic" w:eastAsia="Calibri" w:hAnsi="Century Gothic" w:cstheme="minorHAnsi"/>
          <w:color w:val="000000"/>
          <w:sz w:val="22"/>
          <w:szCs w:val="22"/>
          <w:lang w:bidi="ar-SA"/>
        </w:rPr>
      </w:pPr>
      <w:r>
        <w:rPr>
          <w:rFonts w:ascii="Century Gothic" w:eastAsia="Calibri" w:hAnsi="Century Gothic" w:cstheme="minorHAnsi"/>
          <w:color w:val="000000"/>
          <w:sz w:val="22"/>
          <w:szCs w:val="22"/>
          <w:lang w:bidi="ar-SA"/>
        </w:rPr>
        <w:t xml:space="preserve">Les étudiants participant au cours commun du </w:t>
      </w:r>
      <w:r>
        <w:rPr>
          <w:rFonts w:ascii="Century Gothic" w:eastAsia="Calibri" w:hAnsi="Century Gothic" w:cstheme="minorHAnsi"/>
          <w:b/>
          <w:bCs/>
          <w:color w:val="000000"/>
          <w:sz w:val="22"/>
          <w:szCs w:val="22"/>
          <w:lang w:bidi="ar-SA"/>
        </w:rPr>
        <w:t>Collège hautes études Lyon Sciences (CHELS)</w:t>
      </w:r>
      <w:r>
        <w:rPr>
          <w:rFonts w:ascii="Century Gothic" w:eastAsia="Calibri" w:hAnsi="Century Gothic" w:cstheme="minorHAnsi"/>
          <w:color w:val="000000"/>
          <w:sz w:val="22"/>
          <w:szCs w:val="22"/>
          <w:lang w:bidi="ar-SA"/>
        </w:rPr>
        <w:t xml:space="preserve"> peuvent bénéficier d’une bonification selon les modalités prévues par la délibération de la CFVU du 24 juin 2025 et validées par le CA du 8 juillet 2025.</w:t>
      </w:r>
    </w:p>
    <w:p w14:paraId="18D55322" w14:textId="77777777" w:rsidR="00304814" w:rsidRDefault="000633BC">
      <w:pPr>
        <w:spacing w:before="156" w:line="276" w:lineRule="auto"/>
        <w:jc w:val="both"/>
        <w:rPr>
          <w:rFonts w:ascii="Century Gothic" w:hAnsi="Century Gothic"/>
        </w:rPr>
      </w:pPr>
      <w:r>
        <w:rPr>
          <w:rFonts w:ascii="Century Gothic" w:eastAsia="Calibri" w:hAnsi="Century Gothic" w:cstheme="minorHAnsi"/>
          <w:b/>
          <w:bCs/>
          <w:color w:val="000000"/>
          <w:sz w:val="22"/>
          <w:szCs w:val="22"/>
          <w:lang w:bidi="ar-SA"/>
        </w:rPr>
        <w:t>La préparation aux DU Langues et Cultures et aux DU Langues et Entreprises ne donne pas lieu à des bonifications.</w:t>
      </w:r>
    </w:p>
    <w:p w14:paraId="4AE2F4DA" w14:textId="77777777" w:rsidR="00304814" w:rsidRDefault="000633BC">
      <w:pPr>
        <w:pStyle w:val="Paragraphedeliste"/>
        <w:keepNext/>
        <w:numPr>
          <w:ilvl w:val="0"/>
          <w:numId w:val="20"/>
        </w:numPr>
        <w:spacing w:before="156" w:line="276" w:lineRule="auto"/>
        <w:ind w:left="0" w:firstLine="0"/>
        <w:contextualSpacing w:val="0"/>
        <w:jc w:val="both"/>
        <w:outlineLvl w:val="7"/>
        <w:rPr>
          <w:rFonts w:ascii="Century Gothic" w:hAnsi="Century Gothic"/>
        </w:rPr>
      </w:pPr>
      <w:r>
        <w:rPr>
          <w:rFonts w:ascii="Century Gothic" w:eastAsia="Times New Roman" w:hAnsi="Century Gothic" w:cstheme="minorHAnsi"/>
          <w:b/>
          <w:color w:val="000000"/>
          <w:sz w:val="22"/>
          <w:szCs w:val="22"/>
          <w:u w:val="single"/>
          <w:lang w:eastAsia="fr-FR" w:bidi="ar-SA"/>
        </w:rPr>
        <w:lastRenderedPageBreak/>
        <w:t xml:space="preserve">Cursus à l’étranger </w:t>
      </w:r>
    </w:p>
    <w:p w14:paraId="7FD81D31" w14:textId="77777777" w:rsidR="00304814" w:rsidRDefault="000633BC">
      <w:pPr>
        <w:spacing w:before="156" w:line="276" w:lineRule="auto"/>
        <w:jc w:val="both"/>
        <w:rPr>
          <w:rFonts w:ascii="Century Gothic" w:hAnsi="Century Gothic"/>
        </w:rPr>
      </w:pPr>
      <w:r>
        <w:rPr>
          <w:rFonts w:ascii="Century Gothic" w:eastAsia="Times New Roman" w:hAnsi="Century Gothic" w:cstheme="minorHAnsi"/>
          <w:color w:val="000000"/>
          <w:sz w:val="22"/>
          <w:szCs w:val="22"/>
          <w:lang w:eastAsia="fr-FR" w:bidi="ar-SA"/>
        </w:rPr>
        <w:t xml:space="preserve">Consulter le « Règlement relatif aux cursus d’études intégrées à l’étranger » sur le site de la Faculté des Langues. </w:t>
      </w:r>
    </w:p>
    <w:p w14:paraId="20E4E461" w14:textId="54403EA1" w:rsidR="00304814" w:rsidRPr="0038061B" w:rsidRDefault="000633BC">
      <w:pPr>
        <w:pStyle w:val="Paragraphedeliste"/>
        <w:numPr>
          <w:ilvl w:val="0"/>
          <w:numId w:val="20"/>
        </w:numPr>
        <w:spacing w:before="156" w:line="276" w:lineRule="auto"/>
        <w:ind w:left="0" w:firstLine="0"/>
        <w:contextualSpacing w:val="0"/>
        <w:jc w:val="both"/>
        <w:rPr>
          <w:rFonts w:ascii="Century Gothic" w:hAnsi="Century Gothic"/>
          <w:highlight w:val="yellow"/>
        </w:rPr>
      </w:pPr>
      <w:r w:rsidRPr="00893517">
        <w:rPr>
          <w:rFonts w:ascii="Century Gothic" w:eastAsia="Times New Roman" w:hAnsi="Century Gothic" w:cstheme="minorHAnsi"/>
          <w:b/>
          <w:color w:val="000000"/>
          <w:sz w:val="22"/>
          <w:szCs w:val="22"/>
          <w:u w:val="single"/>
          <w:lang w:eastAsia="fr-FR" w:bidi="ar-SA"/>
        </w:rPr>
        <w:t>E</w:t>
      </w:r>
      <w:r>
        <w:rPr>
          <w:rFonts w:ascii="Century Gothic" w:eastAsia="Times New Roman" w:hAnsi="Century Gothic" w:cstheme="minorHAnsi"/>
          <w:b/>
          <w:color w:val="000000"/>
          <w:sz w:val="22"/>
          <w:szCs w:val="22"/>
          <w:u w:val="single"/>
          <w:lang w:eastAsia="fr-FR" w:bidi="ar-SA"/>
        </w:rPr>
        <w:t>ngagement Etudiant : voir délibération du CA n°</w:t>
      </w:r>
      <w:r w:rsidR="004817A8" w:rsidRPr="004817A8">
        <w:rPr>
          <w:rFonts w:ascii="Century Gothic" w:eastAsia="Calibri" w:hAnsi="Century Gothic" w:cs="Times New Roman"/>
          <w:color w:val="232220"/>
          <w:sz w:val="22"/>
          <w:szCs w:val="22"/>
          <w:lang w:eastAsia="fr-FR" w:bidi="ar-SA"/>
        </w:rPr>
        <w:t xml:space="preserve"> n°D2025-07-08-sco du 8 juillet 2025.</w:t>
      </w:r>
    </w:p>
    <w:p w14:paraId="4E153A9D" w14:textId="77777777" w:rsidR="004B5776" w:rsidRDefault="004B5776" w:rsidP="0038061B">
      <w:pPr>
        <w:pStyle w:val="Paragraphedeliste"/>
        <w:spacing w:before="156" w:line="276" w:lineRule="auto"/>
        <w:ind w:left="0"/>
        <w:contextualSpacing w:val="0"/>
        <w:jc w:val="both"/>
        <w:rPr>
          <w:rFonts w:ascii="Century Gothic" w:hAnsi="Century Gothic"/>
          <w:highlight w:val="yellow"/>
        </w:rPr>
      </w:pPr>
    </w:p>
    <w:p w14:paraId="715D0C87" w14:textId="77777777" w:rsidR="00893517" w:rsidRPr="00893517" w:rsidRDefault="000633BC" w:rsidP="00992799">
      <w:pPr>
        <w:pStyle w:val="Paragraphedeliste"/>
        <w:numPr>
          <w:ilvl w:val="0"/>
          <w:numId w:val="20"/>
        </w:numPr>
        <w:spacing w:before="156" w:line="276" w:lineRule="auto"/>
        <w:ind w:left="0" w:firstLine="0"/>
        <w:contextualSpacing w:val="0"/>
        <w:jc w:val="both"/>
        <w:rPr>
          <w:rFonts w:ascii="Century Gothic" w:hAnsi="Century Gothic"/>
        </w:rPr>
      </w:pPr>
      <w:r w:rsidRPr="00893517">
        <w:rPr>
          <w:rFonts w:ascii="Century Gothic" w:eastAsia="Times New Roman" w:hAnsi="Century Gothic" w:cstheme="minorHAnsi"/>
          <w:b/>
          <w:color w:val="000000"/>
          <w:sz w:val="22"/>
          <w:szCs w:val="22"/>
          <w:u w:val="single"/>
          <w:lang w:eastAsia="fr-FR" w:bidi="ar-SA"/>
        </w:rPr>
        <w:t>Sportif de haut niveau : voir délibération du CA n°D2019-07-16-sco du 9 juillet 2019</w:t>
      </w:r>
    </w:p>
    <w:p w14:paraId="19B689B0" w14:textId="77777777" w:rsidR="00893517" w:rsidRPr="00893517" w:rsidRDefault="00893517" w:rsidP="00893517">
      <w:pPr>
        <w:pStyle w:val="Paragraphedeliste"/>
        <w:rPr>
          <w:rFonts w:ascii="Century Gothic" w:hAnsi="Century Gothic"/>
        </w:rPr>
      </w:pPr>
    </w:p>
    <w:p w14:paraId="11F9F656" w14:textId="63488D2E" w:rsidR="004817A8" w:rsidRPr="00893517" w:rsidRDefault="0038061B" w:rsidP="00992799">
      <w:pPr>
        <w:pStyle w:val="Paragraphedeliste"/>
        <w:numPr>
          <w:ilvl w:val="0"/>
          <w:numId w:val="20"/>
        </w:numPr>
        <w:spacing w:before="156" w:line="276" w:lineRule="auto"/>
        <w:ind w:left="0" w:firstLine="0"/>
        <w:contextualSpacing w:val="0"/>
        <w:jc w:val="both"/>
        <w:rPr>
          <w:rFonts w:ascii="Century Gothic" w:hAnsi="Century Gothic"/>
          <w:u w:val="single"/>
        </w:rPr>
      </w:pPr>
      <w:r w:rsidRPr="00893517">
        <w:rPr>
          <w:rFonts w:ascii="Century Gothic" w:hAnsi="Century Gothic"/>
          <w:u w:val="single"/>
        </w:rPr>
        <w:t xml:space="preserve">Artistes de haut niveau : voir délibération du </w:t>
      </w:r>
      <w:proofErr w:type="gramStart"/>
      <w:r w:rsidRPr="00893517">
        <w:rPr>
          <w:rFonts w:ascii="Century Gothic" w:hAnsi="Century Gothic"/>
          <w:u w:val="single"/>
        </w:rPr>
        <w:t>CA  n</w:t>
      </w:r>
      <w:proofErr w:type="gramEnd"/>
      <w:r w:rsidRPr="00893517">
        <w:rPr>
          <w:rFonts w:ascii="Century Gothic" w:hAnsi="Century Gothic"/>
          <w:u w:val="single"/>
        </w:rPr>
        <w:t>° D2023-07-10-sco du 4 juillet 2023</w:t>
      </w:r>
    </w:p>
    <w:sectPr w:rsidR="004817A8" w:rsidRPr="00893517">
      <w:headerReference w:type="even" r:id="rId15"/>
      <w:headerReference w:type="default" r:id="rId16"/>
      <w:footerReference w:type="default" r:id="rId17"/>
      <w:headerReference w:type="first" r:id="rId18"/>
      <w:pgSz w:w="11906" w:h="16838"/>
      <w:pgMar w:top="2245" w:right="1134" w:bottom="1647" w:left="1134"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43B3" w14:textId="77777777" w:rsidR="00533D87" w:rsidRDefault="00533D87">
      <w:r>
        <w:separator/>
      </w:r>
    </w:p>
  </w:endnote>
  <w:endnote w:type="continuationSeparator" w:id="0">
    <w:p w14:paraId="79F36E9C" w14:textId="77777777" w:rsidR="00533D87" w:rsidRDefault="0053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Noto Serif CJK SC">
    <w:charset w:val="00"/>
    <w:family w:val="auto"/>
    <w:pitch w:val="default"/>
  </w:font>
  <w:font w:name="Lohit Devanagari">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otham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auto"/>
    <w:pitch w:val="default"/>
  </w:font>
  <w:font w:name="Noto Sans CJK SC">
    <w:charset w:val="00"/>
    <w:family w:val="auto"/>
    <w:pitch w:val="default"/>
  </w:font>
  <w:font w:name="Minion Pro">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GothamBlack">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84739"/>
      <w:docPartObj>
        <w:docPartGallery w:val="Page Numbers (Bottom of Page)"/>
        <w:docPartUnique/>
      </w:docPartObj>
    </w:sdtPr>
    <w:sdtEndPr/>
    <w:sdtContent>
      <w:p w14:paraId="2EA87232" w14:textId="77777777" w:rsidR="00304814" w:rsidRDefault="000633BC">
        <w:pPr>
          <w:pStyle w:val="Pieddepage"/>
          <w:rPr>
            <w:rFonts w:ascii="Century Gothic" w:hAnsi="Century Gothic"/>
            <w:sz w:val="18"/>
            <w:szCs w:val="18"/>
          </w:rPr>
        </w:pPr>
        <w:r>
          <w:rPr>
            <w:rFonts w:ascii="Century Gothic" w:hAnsi="Century Gothic"/>
            <w:sz w:val="18"/>
            <w:szCs w:val="18"/>
          </w:rPr>
          <w:t xml:space="preserve">Règlement des Examens et modalités des contrôles des connaissances et des compétences                   </w:t>
        </w:r>
      </w:p>
    </w:sdtContent>
  </w:sdt>
  <w:p w14:paraId="0F31B5CB" w14:textId="77777777" w:rsidR="00304814" w:rsidRDefault="000633BC">
    <w:pPr>
      <w:pStyle w:val="Pieddepage"/>
      <w:rPr>
        <w:rFonts w:ascii="Century Gothic" w:hAnsi="Century Gothic"/>
        <w:sz w:val="18"/>
        <w:szCs w:val="18"/>
      </w:rPr>
    </w:pPr>
    <w:r>
      <w:rPr>
        <w:rFonts w:ascii="Century Gothic" w:hAnsi="Century Gothic"/>
        <w:sz w:val="18"/>
        <w:szCs w:val="18"/>
      </w:rPr>
      <w:t>Année 2025-2026. Voté au Conseil de Faculté le 09.07.2025</w:t>
    </w:r>
  </w:p>
  <w:p w14:paraId="0117E71F" w14:textId="77777777" w:rsidR="00304814" w:rsidRDefault="000633BC">
    <w:pPr>
      <w:pStyle w:val="Pieddepage"/>
      <w:jc w:val="right"/>
      <w:rPr>
        <w:rFonts w:ascii="Liberation Sans" w:hAnsi="Liberation Sans"/>
        <w:sz w:val="20"/>
        <w:szCs w:val="20"/>
      </w:rPr>
    </w:pPr>
    <w:r>
      <w:rPr>
        <w:rFonts w:ascii="Liberation Sans" w:hAnsi="Liberation Sans"/>
        <w:sz w:val="20"/>
        <w:szCs w:val="20"/>
      </w:rPr>
      <w:fldChar w:fldCharType="begin"/>
    </w:r>
    <w:r>
      <w:rPr>
        <w:rFonts w:ascii="Liberation Sans" w:hAnsi="Liberation Sans"/>
        <w:sz w:val="20"/>
        <w:szCs w:val="20"/>
      </w:rPr>
      <w:instrText xml:space="preserve"> PAGE </w:instrText>
    </w:r>
    <w:r>
      <w:rPr>
        <w:rFonts w:ascii="Liberation Sans" w:hAnsi="Liberation Sans"/>
        <w:sz w:val="20"/>
        <w:szCs w:val="20"/>
      </w:rPr>
      <w:fldChar w:fldCharType="separate"/>
    </w:r>
    <w:r>
      <w:rPr>
        <w:rFonts w:ascii="Liberation Sans" w:hAnsi="Liberation Sans"/>
        <w:sz w:val="20"/>
        <w:szCs w:val="20"/>
      </w:rPr>
      <w:t>1</w:t>
    </w:r>
    <w:r>
      <w:rPr>
        <w:rFonts w:ascii="Liberation Sans" w:hAnsi="Liberation Sans"/>
        <w:sz w:val="20"/>
        <w:szCs w:val="20"/>
      </w:rPr>
      <w:fldChar w:fldCharType="end"/>
    </w:r>
    <w:r>
      <w:rPr>
        <w:rFonts w:ascii="Liberation Sans" w:hAnsi="Liberation Sans"/>
        <w:sz w:val="20"/>
        <w:szCs w:val="20"/>
      </w:rPr>
      <w:t>/</w:t>
    </w:r>
    <w:r>
      <w:rPr>
        <w:rFonts w:ascii="Liberation Sans" w:hAnsi="Liberation Sans"/>
        <w:sz w:val="20"/>
        <w:szCs w:val="20"/>
      </w:rPr>
      <w:fldChar w:fldCharType="begin"/>
    </w:r>
    <w:r>
      <w:rPr>
        <w:rFonts w:ascii="Liberation Sans" w:hAnsi="Liberation Sans"/>
        <w:sz w:val="20"/>
        <w:szCs w:val="20"/>
      </w:rPr>
      <w:instrText xml:space="preserve"> NUMPAGES </w:instrText>
    </w:r>
    <w:r>
      <w:rPr>
        <w:rFonts w:ascii="Liberation Sans" w:hAnsi="Liberation Sans"/>
        <w:sz w:val="20"/>
        <w:szCs w:val="20"/>
      </w:rPr>
      <w:fldChar w:fldCharType="separate"/>
    </w:r>
    <w:r>
      <w:rPr>
        <w:rFonts w:ascii="Liberation Sans" w:hAnsi="Liberation Sans"/>
        <w:sz w:val="20"/>
        <w:szCs w:val="20"/>
      </w:rPr>
      <w:t>23</w:t>
    </w:r>
    <w:r>
      <w:rPr>
        <w:rFonts w:ascii="Liberation Sans" w:hAnsi="Liberation Sa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6C54" w14:textId="77777777" w:rsidR="00533D87" w:rsidRDefault="00533D87">
      <w:r>
        <w:separator/>
      </w:r>
    </w:p>
  </w:footnote>
  <w:footnote w:type="continuationSeparator" w:id="0">
    <w:p w14:paraId="433A0DB3" w14:textId="77777777" w:rsidR="00533D87" w:rsidRDefault="0053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23B9" w14:textId="77777777" w:rsidR="00304814" w:rsidRDefault="003048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F792" w14:textId="77777777" w:rsidR="00304814" w:rsidRDefault="000633BC">
    <w:pPr>
      <w:pStyle w:val="Paragraphestandard"/>
      <w:rPr>
        <w:rFonts w:ascii="Century Gothic" w:hAnsi="Century Gothic"/>
        <w:b/>
        <w:caps/>
        <w:color w:val="6285A4"/>
        <w:sz w:val="20"/>
        <w:szCs w:val="20"/>
      </w:rPr>
    </w:pPr>
    <w:r>
      <w:rPr>
        <w:rFonts w:ascii="Century Gothic" w:hAnsi="Century Gothic"/>
        <w:b/>
        <w:caps/>
        <w:noProof/>
        <w:color w:val="6285A4"/>
        <w:sz w:val="20"/>
        <w:szCs w:val="20"/>
      </w:rPr>
      <mc:AlternateContent>
        <mc:Choice Requires="wpg">
          <w:drawing>
            <wp:anchor distT="0" distB="0" distL="114300" distR="114300" simplePos="0" relativeHeight="251655168" behindDoc="0" locked="0" layoutInCell="0" allowOverlap="1" wp14:anchorId="6EAF42C2" wp14:editId="54A0F035">
              <wp:simplePos x="0" y="0"/>
              <wp:positionH relativeFrom="column">
                <wp:posOffset>59055</wp:posOffset>
              </wp:positionH>
              <wp:positionV relativeFrom="paragraph">
                <wp:posOffset>-5715</wp:posOffset>
              </wp:positionV>
              <wp:extent cx="964565" cy="559435"/>
              <wp:effectExtent l="0" t="0" r="0" b="0"/>
              <wp:wrapThrough wrapText="bothSides">
                <wp:wrapPolygon edited="1">
                  <wp:start x="-85" y="0"/>
                  <wp:lineTo x="-85" y="20957"/>
                  <wp:lineTo x="21180" y="20957"/>
                  <wp:lineTo x="21180" y="0"/>
                  <wp:lineTo x="-85" y="0"/>
                </wp:wrapPolygon>
              </wp:wrapThrough>
              <wp:docPr id="1" name="Image 4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Copie 1"/>
                      <pic:cNvPicPr>
                        <a:picLocks noChangeAspect="1"/>
                      </pic:cNvPicPr>
                    </pic:nvPicPr>
                    <pic:blipFill>
                      <a:blip r:embed="rId1"/>
                      <a:stretch/>
                    </pic:blipFill>
                    <pic:spPr bwMode="auto">
                      <a:xfrm>
                        <a:off x="0" y="0"/>
                        <a:ext cx="964564" cy="55943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5168;o:allowoverlap:true;o:allowincell:false;mso-position-horizontal-relative:text;margin-left:4.6pt;mso-position-horizontal:absolute;mso-position-vertical-relative:text;margin-top:-0.4pt;mso-position-vertical:absolute;width:76.0pt;height:44.0pt;mso-wrap-distance-left:9.0pt;mso-wrap-distance-top:0.0pt;mso-wrap-distance-right:9.0pt;mso-wrap-distance-bottom:0.0pt;" wrapcoords="-393 0 -393 97023 98056 97023 98056 0 -393 0" stroked="false">
              <v:path textboxrect="0,0,0,0"/>
              <w10:wrap type="through"/>
              <v:imagedata r:id="rId2" o:title=""/>
            </v:shape>
          </w:pict>
        </mc:Fallback>
      </mc:AlternateContent>
    </w:r>
  </w:p>
  <w:p w14:paraId="64BD9472" w14:textId="77777777" w:rsidR="00304814" w:rsidRDefault="000633BC">
    <w:pPr>
      <w:pStyle w:val="Titre2"/>
      <w:ind w:left="7080" w:firstLine="433"/>
      <w:rPr>
        <w:rFonts w:ascii="Liberation Sans" w:hAnsi="Liberation Sans"/>
      </w:rPr>
    </w:pPr>
    <w:r>
      <w:rPr>
        <w:rFonts w:ascii="Liberation Sans" w:hAnsi="Liberation Sans"/>
      </w:rPr>
      <w:t xml:space="preserve">FacultÉ </w:t>
    </w:r>
  </w:p>
  <w:p w14:paraId="57F4D5A5" w14:textId="77777777" w:rsidR="00304814" w:rsidRDefault="000633BC">
    <w:pPr>
      <w:pStyle w:val="Paragraphestandard"/>
      <w:ind w:left="6805" w:firstLine="708"/>
      <w:rPr>
        <w:rFonts w:ascii="Century Gothic" w:hAnsi="Century Gothic" w:cs="GothamLight"/>
        <w:caps/>
        <w:color w:val="3D9DB7"/>
        <w:spacing w:val="-12"/>
      </w:rPr>
    </w:pPr>
    <w:r>
      <w:rPr>
        <w:rFonts w:ascii="Liberation Sans" w:hAnsi="Liberation Sans"/>
        <w:color w:val="3D9DB7"/>
      </w:rPr>
      <w:t xml:space="preserve">DES </w:t>
    </w:r>
    <w:r>
      <w:rPr>
        <w:rFonts w:ascii="Liberation Sans" w:hAnsi="Liberation Sans" w:cs="GothamBlack"/>
        <w:b/>
        <w:color w:val="3D9DB7"/>
      </w:rPr>
      <w:t>LANGUES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F422" w14:textId="77777777" w:rsidR="00304814" w:rsidRDefault="000633BC">
    <w:pPr>
      <w:pStyle w:val="Paragraphestandard"/>
      <w:rPr>
        <w:rFonts w:ascii="Century Gothic" w:hAnsi="Century Gothic"/>
        <w:b/>
        <w:caps/>
        <w:color w:val="6285A4"/>
        <w:sz w:val="20"/>
        <w:szCs w:val="20"/>
      </w:rPr>
    </w:pPr>
    <w:r>
      <w:rPr>
        <w:rFonts w:ascii="Century Gothic" w:hAnsi="Century Gothic"/>
        <w:b/>
        <w:caps/>
        <w:noProof/>
        <w:color w:val="6285A4"/>
        <w:sz w:val="20"/>
        <w:szCs w:val="20"/>
      </w:rPr>
      <mc:AlternateContent>
        <mc:Choice Requires="wps">
          <w:drawing>
            <wp:anchor distT="0" distB="0" distL="114300" distR="114300" simplePos="0" relativeHeight="251660288" behindDoc="0" locked="0" layoutInCell="0" allowOverlap="1" wp14:anchorId="3D2BF21A" wp14:editId="59F3A8E9">
              <wp:simplePos x="0" y="0"/>
              <wp:positionH relativeFrom="margin">
                <wp:align>center</wp:align>
              </wp:positionH>
              <wp:positionV relativeFrom="margin">
                <wp:align>center</wp:align>
              </wp:positionV>
              <wp:extent cx="6710680" cy="2105025"/>
              <wp:effectExtent l="0" t="0" r="0" b="0"/>
              <wp:wrapNone/>
              <wp:docPr id="2" name="Rectangle 2"/>
              <wp:cNvGraphicFramePr/>
              <a:graphic xmlns:a="http://schemas.openxmlformats.org/drawingml/2006/main">
                <a:graphicData uri="http://schemas.microsoft.com/office/word/2010/wordprocessingShape">
                  <wps:wsp>
                    <wps:cNvSpPr/>
                    <wps:spPr bwMode="auto">
                      <a:xfrm rot="18900000">
                        <a:off x="0" y="0"/>
                        <a:ext cx="6710680" cy="2105025"/>
                      </a:xfrm>
                      <a:prstGeom prst="rect">
                        <a:avLst/>
                      </a:prstGeom>
                      <a:noFill/>
                      <a:ln>
                        <a:noFill/>
                        <a:miter/>
                      </a:ln>
                    </wps:spPr>
                    <wps:txbx>
                      <w:txbxContent>
                        <w:p w14:paraId="1BEFFDEA" w14:textId="77777777" w:rsidR="00304814" w:rsidRDefault="000633BC">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PROJET</w:t>
                          </w:r>
                        </w:p>
                      </w:txbxContent>
                    </wps:txbx>
                    <wps:bodyPr wrap="none" lIns="0" tIns="0" rIns="0" bIns="0" numCol="1" fromWordArt="1" anchor="ctr">
                      <a:prstTxWarp prst="textPlain">
                        <a:avLst>
                          <a:gd name="adj" fmla="val 50000"/>
                        </a:avLst>
                      </a:prstTxWarp>
                      <a:normAutofit/>
                    </wps:bodyPr>
                  </wps:wsp>
                </a:graphicData>
              </a:graphic>
            </wp:anchor>
          </w:drawing>
        </mc:Choice>
        <mc:Fallback>
          <w:pict>
            <v:rect w14:anchorId="3D2BF21A" id="Rectangle 2" o:spid="_x0000_s1027" style="position:absolute;margin-left:0;margin-top:0;width:528.4pt;height:165.75pt;rotation:-45;z-index:251660288;visibility:visible;mso-wrap-style:non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" o:allowincell="f" filled="f" stroked="f">
              <v:textbox inset="0,0,0,0">
                <w:txbxContent>
                  <w:p w14:paraId="1BEFFDEA" w14:textId="77777777" w:rsidR="00304814" w:rsidRDefault="000633BC">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PROJET</w:t>
                    </w:r>
                  </w:p>
                </w:txbxContent>
              </v:textbox>
              <w10:wrap anchorx="margin" anchory="margin"/>
            </v:rect>
          </w:pict>
        </mc:Fallback>
      </mc:AlternateContent>
    </w:r>
    <w:r>
      <w:rPr>
        <w:rFonts w:ascii="Century Gothic" w:hAnsi="Century Gothic"/>
        <w:b/>
        <w:caps/>
        <w:noProof/>
        <w:color w:val="6285A4"/>
        <w:sz w:val="20"/>
        <w:szCs w:val="20"/>
      </w:rPr>
      <mc:AlternateContent>
        <mc:Choice Requires="wpg">
          <w:drawing>
            <wp:anchor distT="0" distB="0" distL="114300" distR="114300" simplePos="0" relativeHeight="251656192" behindDoc="0" locked="0" layoutInCell="0" allowOverlap="1" wp14:anchorId="73A3C7D6" wp14:editId="6D364ABC">
              <wp:simplePos x="0" y="0"/>
              <wp:positionH relativeFrom="column">
                <wp:posOffset>59055</wp:posOffset>
              </wp:positionH>
              <wp:positionV relativeFrom="paragraph">
                <wp:posOffset>-5715</wp:posOffset>
              </wp:positionV>
              <wp:extent cx="964565" cy="559435"/>
              <wp:effectExtent l="0" t="0" r="0" b="0"/>
              <wp:wrapThrough wrapText="bothSides">
                <wp:wrapPolygon edited="1">
                  <wp:start x="-85" y="0"/>
                  <wp:lineTo x="-85" y="20957"/>
                  <wp:lineTo x="21180" y="20957"/>
                  <wp:lineTo x="21180" y="0"/>
                  <wp:lineTo x="-85" y="0"/>
                </wp:wrapPolygon>
              </wp:wrapThrough>
              <wp:docPr id="3" name="Image 4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4 Copie 1"/>
                      <pic:cNvPicPr>
                        <a:picLocks noChangeAspect="1"/>
                      </pic:cNvPicPr>
                    </pic:nvPicPr>
                    <pic:blipFill>
                      <a:blip r:embed="rId1"/>
                      <a:stretch/>
                    </pic:blipFill>
                    <pic:spPr bwMode="auto">
                      <a:xfrm>
                        <a:off x="0" y="0"/>
                        <a:ext cx="964564" cy="55943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6192;o:allowoverlap:true;o:allowincell:false;mso-position-horizontal-relative:text;margin-left:4.6pt;mso-position-horizontal:absolute;mso-position-vertical-relative:text;margin-top:-0.4pt;mso-position-vertical:absolute;width:76.0pt;height:44.0pt;mso-wrap-distance-left:9.0pt;mso-wrap-distance-top:0.0pt;mso-wrap-distance-right:9.0pt;mso-wrap-distance-bottom:0.0pt;" wrapcoords="-393 0 -393 97023 98056 97023 98056 0 -393 0" stroked="false">
              <v:path textboxrect="0,0,0,0"/>
              <w10:wrap type="through"/>
              <v:imagedata r:id="rId2" o:title=""/>
            </v:shape>
          </w:pict>
        </mc:Fallback>
      </mc:AlternateContent>
    </w:r>
  </w:p>
  <w:p w14:paraId="60ECC05D" w14:textId="77777777" w:rsidR="00304814" w:rsidRDefault="000633BC">
    <w:pPr>
      <w:pStyle w:val="Titre2"/>
      <w:ind w:left="7080" w:firstLine="433"/>
      <w:rPr>
        <w:rFonts w:ascii="Liberation Sans" w:hAnsi="Liberation Sans"/>
      </w:rPr>
    </w:pPr>
    <w:r>
      <w:rPr>
        <w:rFonts w:ascii="Liberation Sans" w:hAnsi="Liberation Sans"/>
      </w:rPr>
      <w:t xml:space="preserve">FacultÉ </w:t>
    </w:r>
  </w:p>
  <w:p w14:paraId="759C9F20" w14:textId="77777777" w:rsidR="00304814" w:rsidRDefault="000633BC">
    <w:pPr>
      <w:pStyle w:val="Paragraphestandard"/>
      <w:ind w:left="6805" w:firstLine="708"/>
      <w:rPr>
        <w:rFonts w:ascii="Century Gothic" w:hAnsi="Century Gothic" w:cs="GothamLight"/>
        <w:caps/>
        <w:color w:val="3D9DB7"/>
        <w:spacing w:val="-12"/>
      </w:rPr>
    </w:pPr>
    <w:r>
      <w:rPr>
        <w:rFonts w:ascii="Liberation Sans" w:hAnsi="Liberation Sans"/>
        <w:color w:val="3D9DB7"/>
      </w:rPr>
      <w:t xml:space="preserve">DES </w:t>
    </w:r>
    <w:r>
      <w:rPr>
        <w:rFonts w:ascii="Liberation Sans" w:hAnsi="Liberation Sans" w:cs="GothamBlack"/>
        <w:b/>
        <w:color w:val="3D9DB7"/>
      </w:rPr>
      <w:t>LANGUES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17"/>
    <w:multiLevelType w:val="hybridMultilevel"/>
    <w:tmpl w:val="54EC504E"/>
    <w:lvl w:ilvl="0" w:tplc="26A27D8C">
      <w:start w:val="1"/>
      <w:numFmt w:val="bullet"/>
      <w:lvlText w:val=""/>
      <w:lvlJc w:val="left"/>
      <w:pPr>
        <w:tabs>
          <w:tab w:val="num" w:pos="0"/>
        </w:tabs>
        <w:ind w:left="720" w:hanging="360"/>
      </w:pPr>
      <w:rPr>
        <w:rFonts w:ascii="Wingdings" w:hAnsi="Wingdings" w:cs="Wingdings" w:hint="default"/>
      </w:rPr>
    </w:lvl>
    <w:lvl w:ilvl="1" w:tplc="C4E2B97A">
      <w:start w:val="1"/>
      <w:numFmt w:val="bullet"/>
      <w:lvlText w:val="o"/>
      <w:lvlJc w:val="left"/>
      <w:pPr>
        <w:tabs>
          <w:tab w:val="num" w:pos="0"/>
        </w:tabs>
        <w:ind w:left="1440" w:hanging="360"/>
      </w:pPr>
      <w:rPr>
        <w:rFonts w:ascii="Courier New" w:hAnsi="Courier New" w:cs="Courier New" w:hint="default"/>
      </w:rPr>
    </w:lvl>
    <w:lvl w:ilvl="2" w:tplc="FC04ED34">
      <w:start w:val="1"/>
      <w:numFmt w:val="bullet"/>
      <w:lvlText w:val=""/>
      <w:lvlJc w:val="left"/>
      <w:pPr>
        <w:tabs>
          <w:tab w:val="num" w:pos="0"/>
        </w:tabs>
        <w:ind w:left="2160" w:hanging="360"/>
      </w:pPr>
      <w:rPr>
        <w:rFonts w:ascii="Wingdings" w:hAnsi="Wingdings" w:cs="Wingdings" w:hint="default"/>
      </w:rPr>
    </w:lvl>
    <w:lvl w:ilvl="3" w:tplc="97A4EC10">
      <w:start w:val="1"/>
      <w:numFmt w:val="bullet"/>
      <w:lvlText w:val=""/>
      <w:lvlJc w:val="left"/>
      <w:pPr>
        <w:tabs>
          <w:tab w:val="num" w:pos="0"/>
        </w:tabs>
        <w:ind w:left="2880" w:hanging="360"/>
      </w:pPr>
      <w:rPr>
        <w:rFonts w:ascii="Symbol" w:hAnsi="Symbol" w:cs="Symbol" w:hint="default"/>
      </w:rPr>
    </w:lvl>
    <w:lvl w:ilvl="4" w:tplc="E3E201BA">
      <w:start w:val="1"/>
      <w:numFmt w:val="bullet"/>
      <w:lvlText w:val="o"/>
      <w:lvlJc w:val="left"/>
      <w:pPr>
        <w:tabs>
          <w:tab w:val="num" w:pos="0"/>
        </w:tabs>
        <w:ind w:left="3600" w:hanging="360"/>
      </w:pPr>
      <w:rPr>
        <w:rFonts w:ascii="Courier New" w:hAnsi="Courier New" w:cs="Courier New" w:hint="default"/>
      </w:rPr>
    </w:lvl>
    <w:lvl w:ilvl="5" w:tplc="7D6AE510">
      <w:start w:val="1"/>
      <w:numFmt w:val="bullet"/>
      <w:lvlText w:val=""/>
      <w:lvlJc w:val="left"/>
      <w:pPr>
        <w:tabs>
          <w:tab w:val="num" w:pos="0"/>
        </w:tabs>
        <w:ind w:left="4320" w:hanging="360"/>
      </w:pPr>
      <w:rPr>
        <w:rFonts w:ascii="Wingdings" w:hAnsi="Wingdings" w:cs="Wingdings" w:hint="default"/>
      </w:rPr>
    </w:lvl>
    <w:lvl w:ilvl="6" w:tplc="4A1C9A82">
      <w:start w:val="1"/>
      <w:numFmt w:val="bullet"/>
      <w:lvlText w:val=""/>
      <w:lvlJc w:val="left"/>
      <w:pPr>
        <w:tabs>
          <w:tab w:val="num" w:pos="0"/>
        </w:tabs>
        <w:ind w:left="5040" w:hanging="360"/>
      </w:pPr>
      <w:rPr>
        <w:rFonts w:ascii="Symbol" w:hAnsi="Symbol" w:cs="Symbol" w:hint="default"/>
      </w:rPr>
    </w:lvl>
    <w:lvl w:ilvl="7" w:tplc="E530F17A">
      <w:start w:val="1"/>
      <w:numFmt w:val="bullet"/>
      <w:lvlText w:val="o"/>
      <w:lvlJc w:val="left"/>
      <w:pPr>
        <w:tabs>
          <w:tab w:val="num" w:pos="0"/>
        </w:tabs>
        <w:ind w:left="5760" w:hanging="360"/>
      </w:pPr>
      <w:rPr>
        <w:rFonts w:ascii="Courier New" w:hAnsi="Courier New" w:cs="Courier New" w:hint="default"/>
      </w:rPr>
    </w:lvl>
    <w:lvl w:ilvl="8" w:tplc="5F8CECBA">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525F6B"/>
    <w:multiLevelType w:val="hybridMultilevel"/>
    <w:tmpl w:val="B7B4E52E"/>
    <w:lvl w:ilvl="0" w:tplc="D65C1926">
      <w:start w:val="1"/>
      <w:numFmt w:val="decimal"/>
      <w:lvlText w:val="%1."/>
      <w:lvlJc w:val="left"/>
      <w:pPr>
        <w:tabs>
          <w:tab w:val="num" w:pos="709"/>
        </w:tabs>
        <w:ind w:left="2509" w:hanging="360"/>
      </w:pPr>
      <w:rPr>
        <w:rFonts w:hint="default"/>
      </w:rPr>
    </w:lvl>
    <w:lvl w:ilvl="1" w:tplc="102A8794">
      <w:start w:val="1"/>
      <w:numFmt w:val="lowerLetter"/>
      <w:lvlText w:val="%2."/>
      <w:lvlJc w:val="left"/>
      <w:pPr>
        <w:tabs>
          <w:tab w:val="num" w:pos="709"/>
        </w:tabs>
        <w:ind w:left="3229" w:hanging="360"/>
      </w:pPr>
      <w:rPr>
        <w:rFonts w:hint="default"/>
      </w:rPr>
    </w:lvl>
    <w:lvl w:ilvl="2" w:tplc="D3B8C162">
      <w:start w:val="1"/>
      <w:numFmt w:val="lowerRoman"/>
      <w:lvlText w:val="%3."/>
      <w:lvlJc w:val="right"/>
      <w:pPr>
        <w:tabs>
          <w:tab w:val="num" w:pos="709"/>
        </w:tabs>
        <w:ind w:left="3949" w:hanging="180"/>
      </w:pPr>
      <w:rPr>
        <w:rFonts w:hint="default"/>
      </w:rPr>
    </w:lvl>
    <w:lvl w:ilvl="3" w:tplc="5B7C110A">
      <w:start w:val="1"/>
      <w:numFmt w:val="decimal"/>
      <w:lvlText w:val="%4."/>
      <w:lvlJc w:val="left"/>
      <w:pPr>
        <w:tabs>
          <w:tab w:val="num" w:pos="709"/>
        </w:tabs>
        <w:ind w:left="4669" w:hanging="360"/>
      </w:pPr>
      <w:rPr>
        <w:rFonts w:hint="default"/>
      </w:rPr>
    </w:lvl>
    <w:lvl w:ilvl="4" w:tplc="EF90F244">
      <w:start w:val="1"/>
      <w:numFmt w:val="lowerLetter"/>
      <w:lvlText w:val="%5."/>
      <w:lvlJc w:val="left"/>
      <w:pPr>
        <w:tabs>
          <w:tab w:val="num" w:pos="709"/>
        </w:tabs>
        <w:ind w:left="5389" w:hanging="360"/>
      </w:pPr>
      <w:rPr>
        <w:rFonts w:hint="default"/>
      </w:rPr>
    </w:lvl>
    <w:lvl w:ilvl="5" w:tplc="B9E07660">
      <w:start w:val="1"/>
      <w:numFmt w:val="lowerRoman"/>
      <w:lvlText w:val="%6."/>
      <w:lvlJc w:val="right"/>
      <w:pPr>
        <w:tabs>
          <w:tab w:val="num" w:pos="709"/>
        </w:tabs>
        <w:ind w:left="6109" w:hanging="180"/>
      </w:pPr>
      <w:rPr>
        <w:rFonts w:hint="default"/>
      </w:rPr>
    </w:lvl>
    <w:lvl w:ilvl="6" w:tplc="E6F858B8">
      <w:start w:val="1"/>
      <w:numFmt w:val="decimal"/>
      <w:lvlText w:val="%7."/>
      <w:lvlJc w:val="left"/>
      <w:pPr>
        <w:tabs>
          <w:tab w:val="num" w:pos="709"/>
        </w:tabs>
        <w:ind w:left="6829" w:hanging="360"/>
      </w:pPr>
      <w:rPr>
        <w:rFonts w:hint="default"/>
      </w:rPr>
    </w:lvl>
    <w:lvl w:ilvl="7" w:tplc="F68A9F28">
      <w:start w:val="1"/>
      <w:numFmt w:val="lowerLetter"/>
      <w:lvlText w:val="%8."/>
      <w:lvlJc w:val="left"/>
      <w:pPr>
        <w:tabs>
          <w:tab w:val="num" w:pos="709"/>
        </w:tabs>
        <w:ind w:left="7549" w:hanging="360"/>
      </w:pPr>
      <w:rPr>
        <w:rFonts w:hint="default"/>
      </w:rPr>
    </w:lvl>
    <w:lvl w:ilvl="8" w:tplc="6674F374">
      <w:start w:val="1"/>
      <w:numFmt w:val="lowerRoman"/>
      <w:lvlText w:val="%9."/>
      <w:lvlJc w:val="right"/>
      <w:pPr>
        <w:tabs>
          <w:tab w:val="num" w:pos="709"/>
        </w:tabs>
        <w:ind w:left="8269" w:hanging="180"/>
      </w:pPr>
      <w:rPr>
        <w:rFonts w:hint="default"/>
      </w:rPr>
    </w:lvl>
  </w:abstractNum>
  <w:abstractNum w:abstractNumId="2" w15:restartNumberingAfterBreak="0">
    <w:nsid w:val="0CBD56CE"/>
    <w:multiLevelType w:val="hybridMultilevel"/>
    <w:tmpl w:val="D9C4D8F0"/>
    <w:lvl w:ilvl="0" w:tplc="EBE8DC2A">
      <w:start w:val="1"/>
      <w:numFmt w:val="upperLetter"/>
      <w:lvlText w:val="%1."/>
      <w:lvlJc w:val="left"/>
      <w:pPr>
        <w:tabs>
          <w:tab w:val="num" w:pos="0"/>
        </w:tabs>
        <w:ind w:left="1440" w:hanging="360"/>
      </w:pPr>
    </w:lvl>
    <w:lvl w:ilvl="1" w:tplc="D8B66A18">
      <w:start w:val="1"/>
      <w:numFmt w:val="lowerLetter"/>
      <w:lvlText w:val="%2."/>
      <w:lvlJc w:val="left"/>
      <w:pPr>
        <w:tabs>
          <w:tab w:val="num" w:pos="0"/>
        </w:tabs>
        <w:ind w:left="2160" w:hanging="360"/>
      </w:pPr>
    </w:lvl>
    <w:lvl w:ilvl="2" w:tplc="A21EFF88">
      <w:start w:val="1"/>
      <w:numFmt w:val="lowerRoman"/>
      <w:lvlText w:val="%3."/>
      <w:lvlJc w:val="right"/>
      <w:pPr>
        <w:tabs>
          <w:tab w:val="num" w:pos="0"/>
        </w:tabs>
        <w:ind w:left="2880" w:hanging="180"/>
      </w:pPr>
    </w:lvl>
    <w:lvl w:ilvl="3" w:tplc="A3EAFB28">
      <w:start w:val="1"/>
      <w:numFmt w:val="decimal"/>
      <w:lvlText w:val="%4."/>
      <w:lvlJc w:val="left"/>
      <w:pPr>
        <w:tabs>
          <w:tab w:val="num" w:pos="0"/>
        </w:tabs>
        <w:ind w:left="3600" w:hanging="360"/>
      </w:pPr>
    </w:lvl>
    <w:lvl w:ilvl="4" w:tplc="D0AA9678">
      <w:start w:val="1"/>
      <w:numFmt w:val="lowerLetter"/>
      <w:lvlText w:val="%5."/>
      <w:lvlJc w:val="left"/>
      <w:pPr>
        <w:tabs>
          <w:tab w:val="num" w:pos="0"/>
        </w:tabs>
        <w:ind w:left="4320" w:hanging="360"/>
      </w:pPr>
    </w:lvl>
    <w:lvl w:ilvl="5" w:tplc="2684F6B0">
      <w:start w:val="1"/>
      <w:numFmt w:val="lowerRoman"/>
      <w:lvlText w:val="%6."/>
      <w:lvlJc w:val="right"/>
      <w:pPr>
        <w:tabs>
          <w:tab w:val="num" w:pos="0"/>
        </w:tabs>
        <w:ind w:left="5040" w:hanging="180"/>
      </w:pPr>
    </w:lvl>
    <w:lvl w:ilvl="6" w:tplc="7002718E">
      <w:start w:val="1"/>
      <w:numFmt w:val="decimal"/>
      <w:lvlText w:val="%7."/>
      <w:lvlJc w:val="left"/>
      <w:pPr>
        <w:tabs>
          <w:tab w:val="num" w:pos="0"/>
        </w:tabs>
        <w:ind w:left="5760" w:hanging="360"/>
      </w:pPr>
    </w:lvl>
    <w:lvl w:ilvl="7" w:tplc="AFBEA300">
      <w:start w:val="1"/>
      <w:numFmt w:val="lowerLetter"/>
      <w:lvlText w:val="%8."/>
      <w:lvlJc w:val="left"/>
      <w:pPr>
        <w:tabs>
          <w:tab w:val="num" w:pos="0"/>
        </w:tabs>
        <w:ind w:left="6480" w:hanging="360"/>
      </w:pPr>
    </w:lvl>
    <w:lvl w:ilvl="8" w:tplc="C64CFBE2">
      <w:start w:val="1"/>
      <w:numFmt w:val="lowerRoman"/>
      <w:lvlText w:val="%9."/>
      <w:lvlJc w:val="right"/>
      <w:pPr>
        <w:tabs>
          <w:tab w:val="num" w:pos="0"/>
        </w:tabs>
        <w:ind w:left="7200" w:hanging="180"/>
      </w:pPr>
    </w:lvl>
  </w:abstractNum>
  <w:abstractNum w:abstractNumId="3" w15:restartNumberingAfterBreak="0">
    <w:nsid w:val="0D02409E"/>
    <w:multiLevelType w:val="hybridMultilevel"/>
    <w:tmpl w:val="5382FE06"/>
    <w:lvl w:ilvl="0" w:tplc="BDE699BC">
      <w:start w:val="1"/>
      <w:numFmt w:val="upperLetter"/>
      <w:lvlText w:val="%1."/>
      <w:lvlJc w:val="left"/>
      <w:pPr>
        <w:tabs>
          <w:tab w:val="num" w:pos="0"/>
        </w:tabs>
        <w:ind w:left="1440" w:hanging="360"/>
      </w:pPr>
    </w:lvl>
    <w:lvl w:ilvl="1" w:tplc="55E495A6">
      <w:start w:val="1"/>
      <w:numFmt w:val="lowerLetter"/>
      <w:lvlText w:val="%2."/>
      <w:lvlJc w:val="left"/>
      <w:pPr>
        <w:tabs>
          <w:tab w:val="num" w:pos="0"/>
        </w:tabs>
        <w:ind w:left="2160" w:hanging="360"/>
      </w:pPr>
    </w:lvl>
    <w:lvl w:ilvl="2" w:tplc="A5F659A0">
      <w:start w:val="1"/>
      <w:numFmt w:val="lowerRoman"/>
      <w:lvlText w:val="%3."/>
      <w:lvlJc w:val="right"/>
      <w:pPr>
        <w:tabs>
          <w:tab w:val="num" w:pos="0"/>
        </w:tabs>
        <w:ind w:left="2880" w:hanging="180"/>
      </w:pPr>
    </w:lvl>
    <w:lvl w:ilvl="3" w:tplc="AC8AA3B4">
      <w:start w:val="1"/>
      <w:numFmt w:val="decimal"/>
      <w:lvlText w:val="%4."/>
      <w:lvlJc w:val="left"/>
      <w:pPr>
        <w:tabs>
          <w:tab w:val="num" w:pos="0"/>
        </w:tabs>
        <w:ind w:left="3600" w:hanging="360"/>
      </w:pPr>
    </w:lvl>
    <w:lvl w:ilvl="4" w:tplc="B4189FE0">
      <w:start w:val="1"/>
      <w:numFmt w:val="lowerLetter"/>
      <w:lvlText w:val="%5."/>
      <w:lvlJc w:val="left"/>
      <w:pPr>
        <w:tabs>
          <w:tab w:val="num" w:pos="0"/>
        </w:tabs>
        <w:ind w:left="4320" w:hanging="360"/>
      </w:pPr>
    </w:lvl>
    <w:lvl w:ilvl="5" w:tplc="C1F2F2CA">
      <w:start w:val="1"/>
      <w:numFmt w:val="lowerRoman"/>
      <w:lvlText w:val="%6."/>
      <w:lvlJc w:val="right"/>
      <w:pPr>
        <w:tabs>
          <w:tab w:val="num" w:pos="0"/>
        </w:tabs>
        <w:ind w:left="5040" w:hanging="180"/>
      </w:pPr>
    </w:lvl>
    <w:lvl w:ilvl="6" w:tplc="E0BADB32">
      <w:start w:val="1"/>
      <w:numFmt w:val="decimal"/>
      <w:lvlText w:val="%7."/>
      <w:lvlJc w:val="left"/>
      <w:pPr>
        <w:tabs>
          <w:tab w:val="num" w:pos="0"/>
        </w:tabs>
        <w:ind w:left="5760" w:hanging="360"/>
      </w:pPr>
    </w:lvl>
    <w:lvl w:ilvl="7" w:tplc="99CA5246">
      <w:start w:val="1"/>
      <w:numFmt w:val="lowerLetter"/>
      <w:lvlText w:val="%8."/>
      <w:lvlJc w:val="left"/>
      <w:pPr>
        <w:tabs>
          <w:tab w:val="num" w:pos="0"/>
        </w:tabs>
        <w:ind w:left="6480" w:hanging="360"/>
      </w:pPr>
    </w:lvl>
    <w:lvl w:ilvl="8" w:tplc="B5EA6712">
      <w:start w:val="1"/>
      <w:numFmt w:val="lowerRoman"/>
      <w:lvlText w:val="%9."/>
      <w:lvlJc w:val="right"/>
      <w:pPr>
        <w:tabs>
          <w:tab w:val="num" w:pos="0"/>
        </w:tabs>
        <w:ind w:left="7200" w:hanging="180"/>
      </w:pPr>
    </w:lvl>
  </w:abstractNum>
  <w:abstractNum w:abstractNumId="4" w15:restartNumberingAfterBreak="0">
    <w:nsid w:val="0DE84008"/>
    <w:multiLevelType w:val="hybridMultilevel"/>
    <w:tmpl w:val="650E5A7C"/>
    <w:lvl w:ilvl="0" w:tplc="C5223AB6">
      <w:start w:val="1"/>
      <w:numFmt w:val="bullet"/>
      <w:lvlText w:val="-"/>
      <w:lvlJc w:val="left"/>
      <w:pPr>
        <w:tabs>
          <w:tab w:val="num" w:pos="0"/>
        </w:tabs>
        <w:ind w:left="720" w:hanging="360"/>
      </w:pPr>
      <w:rPr>
        <w:rFonts w:ascii="Times New Roman" w:hAnsi="Times New Roman" w:cs="Times New Roman" w:hint="default"/>
      </w:rPr>
    </w:lvl>
    <w:lvl w:ilvl="1" w:tplc="E3AE270A">
      <w:start w:val="1"/>
      <w:numFmt w:val="bullet"/>
      <w:lvlText w:val="o"/>
      <w:lvlJc w:val="left"/>
      <w:pPr>
        <w:tabs>
          <w:tab w:val="num" w:pos="0"/>
        </w:tabs>
        <w:ind w:left="1440" w:hanging="360"/>
      </w:pPr>
      <w:rPr>
        <w:rFonts w:ascii="Courier New" w:hAnsi="Courier New" w:cs="Courier New" w:hint="default"/>
      </w:rPr>
    </w:lvl>
    <w:lvl w:ilvl="2" w:tplc="F4FE7412">
      <w:start w:val="1"/>
      <w:numFmt w:val="bullet"/>
      <w:lvlText w:val=""/>
      <w:lvlJc w:val="left"/>
      <w:pPr>
        <w:tabs>
          <w:tab w:val="num" w:pos="0"/>
        </w:tabs>
        <w:ind w:left="2160" w:hanging="360"/>
      </w:pPr>
      <w:rPr>
        <w:rFonts w:ascii="Wingdings" w:hAnsi="Wingdings" w:cs="Wingdings" w:hint="default"/>
      </w:rPr>
    </w:lvl>
    <w:lvl w:ilvl="3" w:tplc="6D42E4B4">
      <w:start w:val="1"/>
      <w:numFmt w:val="bullet"/>
      <w:lvlText w:val=""/>
      <w:lvlJc w:val="left"/>
      <w:pPr>
        <w:tabs>
          <w:tab w:val="num" w:pos="0"/>
        </w:tabs>
        <w:ind w:left="2880" w:hanging="360"/>
      </w:pPr>
      <w:rPr>
        <w:rFonts w:ascii="Symbol" w:hAnsi="Symbol" w:cs="Symbol" w:hint="default"/>
      </w:rPr>
    </w:lvl>
    <w:lvl w:ilvl="4" w:tplc="58D4302C">
      <w:start w:val="1"/>
      <w:numFmt w:val="bullet"/>
      <w:lvlText w:val="o"/>
      <w:lvlJc w:val="left"/>
      <w:pPr>
        <w:tabs>
          <w:tab w:val="num" w:pos="0"/>
        </w:tabs>
        <w:ind w:left="3600" w:hanging="360"/>
      </w:pPr>
      <w:rPr>
        <w:rFonts w:ascii="Courier New" w:hAnsi="Courier New" w:cs="Courier New" w:hint="default"/>
      </w:rPr>
    </w:lvl>
    <w:lvl w:ilvl="5" w:tplc="866AF348">
      <w:start w:val="1"/>
      <w:numFmt w:val="bullet"/>
      <w:lvlText w:val=""/>
      <w:lvlJc w:val="left"/>
      <w:pPr>
        <w:tabs>
          <w:tab w:val="num" w:pos="0"/>
        </w:tabs>
        <w:ind w:left="4320" w:hanging="360"/>
      </w:pPr>
      <w:rPr>
        <w:rFonts w:ascii="Wingdings" w:hAnsi="Wingdings" w:cs="Wingdings" w:hint="default"/>
      </w:rPr>
    </w:lvl>
    <w:lvl w:ilvl="6" w:tplc="A4B67198">
      <w:start w:val="1"/>
      <w:numFmt w:val="bullet"/>
      <w:lvlText w:val=""/>
      <w:lvlJc w:val="left"/>
      <w:pPr>
        <w:tabs>
          <w:tab w:val="num" w:pos="0"/>
        </w:tabs>
        <w:ind w:left="5040" w:hanging="360"/>
      </w:pPr>
      <w:rPr>
        <w:rFonts w:ascii="Symbol" w:hAnsi="Symbol" w:cs="Symbol" w:hint="default"/>
      </w:rPr>
    </w:lvl>
    <w:lvl w:ilvl="7" w:tplc="3F66B78C">
      <w:start w:val="1"/>
      <w:numFmt w:val="bullet"/>
      <w:lvlText w:val="o"/>
      <w:lvlJc w:val="left"/>
      <w:pPr>
        <w:tabs>
          <w:tab w:val="num" w:pos="0"/>
        </w:tabs>
        <w:ind w:left="5760" w:hanging="360"/>
      </w:pPr>
      <w:rPr>
        <w:rFonts w:ascii="Courier New" w:hAnsi="Courier New" w:cs="Courier New" w:hint="default"/>
      </w:rPr>
    </w:lvl>
    <w:lvl w:ilvl="8" w:tplc="17BA8870">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D37774"/>
    <w:multiLevelType w:val="hybridMultilevel"/>
    <w:tmpl w:val="D91E0B90"/>
    <w:lvl w:ilvl="0" w:tplc="D36ECAB6">
      <w:start w:val="2"/>
      <w:numFmt w:val="bullet"/>
      <w:lvlText w:val="-"/>
      <w:lvlJc w:val="left"/>
      <w:pPr>
        <w:tabs>
          <w:tab w:val="num" w:pos="0"/>
        </w:tabs>
        <w:ind w:left="720" w:hanging="360"/>
      </w:pPr>
      <w:rPr>
        <w:rFonts w:ascii="Times New Roman" w:hAnsi="Times New Roman" w:cs="Times New Roman" w:hint="default"/>
      </w:rPr>
    </w:lvl>
    <w:lvl w:ilvl="1" w:tplc="1DEAE35E">
      <w:start w:val="1"/>
      <w:numFmt w:val="bullet"/>
      <w:lvlText w:val="o"/>
      <w:lvlJc w:val="left"/>
      <w:pPr>
        <w:tabs>
          <w:tab w:val="num" w:pos="0"/>
        </w:tabs>
        <w:ind w:left="1440" w:hanging="360"/>
      </w:pPr>
      <w:rPr>
        <w:rFonts w:ascii="Courier New" w:hAnsi="Courier New" w:cs="Courier New" w:hint="default"/>
      </w:rPr>
    </w:lvl>
    <w:lvl w:ilvl="2" w:tplc="2DDEFAF2">
      <w:start w:val="1"/>
      <w:numFmt w:val="bullet"/>
      <w:lvlText w:val=""/>
      <w:lvlJc w:val="left"/>
      <w:pPr>
        <w:tabs>
          <w:tab w:val="num" w:pos="0"/>
        </w:tabs>
        <w:ind w:left="2160" w:hanging="360"/>
      </w:pPr>
      <w:rPr>
        <w:rFonts w:ascii="Wingdings" w:hAnsi="Wingdings" w:cs="Wingdings" w:hint="default"/>
      </w:rPr>
    </w:lvl>
    <w:lvl w:ilvl="3" w:tplc="9E5A6112">
      <w:start w:val="1"/>
      <w:numFmt w:val="bullet"/>
      <w:lvlText w:val=""/>
      <w:lvlJc w:val="left"/>
      <w:pPr>
        <w:tabs>
          <w:tab w:val="num" w:pos="0"/>
        </w:tabs>
        <w:ind w:left="2880" w:hanging="360"/>
      </w:pPr>
      <w:rPr>
        <w:rFonts w:ascii="Symbol" w:hAnsi="Symbol" w:cs="Symbol" w:hint="default"/>
      </w:rPr>
    </w:lvl>
    <w:lvl w:ilvl="4" w:tplc="66B0EE36">
      <w:start w:val="1"/>
      <w:numFmt w:val="bullet"/>
      <w:lvlText w:val="o"/>
      <w:lvlJc w:val="left"/>
      <w:pPr>
        <w:tabs>
          <w:tab w:val="num" w:pos="0"/>
        </w:tabs>
        <w:ind w:left="3600" w:hanging="360"/>
      </w:pPr>
      <w:rPr>
        <w:rFonts w:ascii="Courier New" w:hAnsi="Courier New" w:cs="Courier New" w:hint="default"/>
      </w:rPr>
    </w:lvl>
    <w:lvl w:ilvl="5" w:tplc="0B3E8B76">
      <w:start w:val="1"/>
      <w:numFmt w:val="bullet"/>
      <w:lvlText w:val=""/>
      <w:lvlJc w:val="left"/>
      <w:pPr>
        <w:tabs>
          <w:tab w:val="num" w:pos="0"/>
        </w:tabs>
        <w:ind w:left="4320" w:hanging="360"/>
      </w:pPr>
      <w:rPr>
        <w:rFonts w:ascii="Wingdings" w:hAnsi="Wingdings" w:cs="Wingdings" w:hint="default"/>
      </w:rPr>
    </w:lvl>
    <w:lvl w:ilvl="6" w:tplc="C2AA7E38">
      <w:start w:val="1"/>
      <w:numFmt w:val="bullet"/>
      <w:lvlText w:val=""/>
      <w:lvlJc w:val="left"/>
      <w:pPr>
        <w:tabs>
          <w:tab w:val="num" w:pos="0"/>
        </w:tabs>
        <w:ind w:left="5040" w:hanging="360"/>
      </w:pPr>
      <w:rPr>
        <w:rFonts w:ascii="Symbol" w:hAnsi="Symbol" w:cs="Symbol" w:hint="default"/>
      </w:rPr>
    </w:lvl>
    <w:lvl w:ilvl="7" w:tplc="B1102298">
      <w:start w:val="1"/>
      <w:numFmt w:val="bullet"/>
      <w:lvlText w:val="o"/>
      <w:lvlJc w:val="left"/>
      <w:pPr>
        <w:tabs>
          <w:tab w:val="num" w:pos="0"/>
        </w:tabs>
        <w:ind w:left="5760" w:hanging="360"/>
      </w:pPr>
      <w:rPr>
        <w:rFonts w:ascii="Courier New" w:hAnsi="Courier New" w:cs="Courier New" w:hint="default"/>
      </w:rPr>
    </w:lvl>
    <w:lvl w:ilvl="8" w:tplc="88C46E9E">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D12006"/>
    <w:multiLevelType w:val="hybridMultilevel"/>
    <w:tmpl w:val="84E27086"/>
    <w:lvl w:ilvl="0" w:tplc="1F86A664">
      <w:start w:val="1"/>
      <w:numFmt w:val="decimal"/>
      <w:lvlText w:val="%1."/>
      <w:lvlJc w:val="left"/>
      <w:pPr>
        <w:tabs>
          <w:tab w:val="num" w:pos="0"/>
        </w:tabs>
        <w:ind w:left="2061" w:hanging="360"/>
      </w:pPr>
      <w:rPr>
        <w:b w:val="0"/>
      </w:rPr>
    </w:lvl>
    <w:lvl w:ilvl="1" w:tplc="D324AB0A">
      <w:start w:val="1"/>
      <w:numFmt w:val="lowerLetter"/>
      <w:lvlText w:val="%2."/>
      <w:lvlJc w:val="left"/>
      <w:pPr>
        <w:tabs>
          <w:tab w:val="num" w:pos="0"/>
        </w:tabs>
        <w:ind w:left="2535" w:hanging="360"/>
      </w:pPr>
    </w:lvl>
    <w:lvl w:ilvl="2" w:tplc="35E60AE2">
      <w:start w:val="1"/>
      <w:numFmt w:val="lowerRoman"/>
      <w:lvlText w:val="%3."/>
      <w:lvlJc w:val="right"/>
      <w:pPr>
        <w:tabs>
          <w:tab w:val="num" w:pos="0"/>
        </w:tabs>
        <w:ind w:left="3255" w:hanging="180"/>
      </w:pPr>
    </w:lvl>
    <w:lvl w:ilvl="3" w:tplc="E7FEA246">
      <w:start w:val="1"/>
      <w:numFmt w:val="decimal"/>
      <w:lvlText w:val="%4."/>
      <w:lvlJc w:val="left"/>
      <w:pPr>
        <w:tabs>
          <w:tab w:val="num" w:pos="0"/>
        </w:tabs>
        <w:ind w:left="3975" w:hanging="360"/>
      </w:pPr>
    </w:lvl>
    <w:lvl w:ilvl="4" w:tplc="D4DEEA26">
      <w:start w:val="1"/>
      <w:numFmt w:val="lowerLetter"/>
      <w:lvlText w:val="%5."/>
      <w:lvlJc w:val="left"/>
      <w:pPr>
        <w:tabs>
          <w:tab w:val="num" w:pos="0"/>
        </w:tabs>
        <w:ind w:left="4695" w:hanging="360"/>
      </w:pPr>
    </w:lvl>
    <w:lvl w:ilvl="5" w:tplc="540CC718">
      <w:start w:val="1"/>
      <w:numFmt w:val="lowerRoman"/>
      <w:lvlText w:val="%6."/>
      <w:lvlJc w:val="right"/>
      <w:pPr>
        <w:tabs>
          <w:tab w:val="num" w:pos="0"/>
        </w:tabs>
        <w:ind w:left="5415" w:hanging="180"/>
      </w:pPr>
    </w:lvl>
    <w:lvl w:ilvl="6" w:tplc="562E8684">
      <w:start w:val="1"/>
      <w:numFmt w:val="decimal"/>
      <w:lvlText w:val="%7."/>
      <w:lvlJc w:val="left"/>
      <w:pPr>
        <w:tabs>
          <w:tab w:val="num" w:pos="0"/>
        </w:tabs>
        <w:ind w:left="6135" w:hanging="360"/>
      </w:pPr>
    </w:lvl>
    <w:lvl w:ilvl="7" w:tplc="DF707F2A">
      <w:start w:val="1"/>
      <w:numFmt w:val="lowerLetter"/>
      <w:lvlText w:val="%8."/>
      <w:lvlJc w:val="left"/>
      <w:pPr>
        <w:tabs>
          <w:tab w:val="num" w:pos="0"/>
        </w:tabs>
        <w:ind w:left="6855" w:hanging="360"/>
      </w:pPr>
    </w:lvl>
    <w:lvl w:ilvl="8" w:tplc="E1702C46">
      <w:start w:val="1"/>
      <w:numFmt w:val="lowerRoman"/>
      <w:lvlText w:val="%9."/>
      <w:lvlJc w:val="right"/>
      <w:pPr>
        <w:tabs>
          <w:tab w:val="num" w:pos="0"/>
        </w:tabs>
        <w:ind w:left="7575" w:hanging="180"/>
      </w:pPr>
    </w:lvl>
  </w:abstractNum>
  <w:abstractNum w:abstractNumId="7" w15:restartNumberingAfterBreak="0">
    <w:nsid w:val="29142290"/>
    <w:multiLevelType w:val="hybridMultilevel"/>
    <w:tmpl w:val="3764412C"/>
    <w:lvl w:ilvl="0" w:tplc="83D645B6">
      <w:start w:val="1"/>
      <w:numFmt w:val="decimal"/>
      <w:lvlText w:val="%1."/>
      <w:lvlJc w:val="left"/>
      <w:pPr>
        <w:tabs>
          <w:tab w:val="num" w:pos="0"/>
        </w:tabs>
        <w:ind w:left="1815" w:hanging="360"/>
      </w:pPr>
    </w:lvl>
    <w:lvl w:ilvl="1" w:tplc="A7BA30C4">
      <w:start w:val="1"/>
      <w:numFmt w:val="lowerLetter"/>
      <w:lvlText w:val="%2."/>
      <w:lvlJc w:val="left"/>
      <w:pPr>
        <w:tabs>
          <w:tab w:val="num" w:pos="0"/>
        </w:tabs>
        <w:ind w:left="2535" w:hanging="360"/>
      </w:pPr>
    </w:lvl>
    <w:lvl w:ilvl="2" w:tplc="2EAA8A6C">
      <w:start w:val="1"/>
      <w:numFmt w:val="lowerRoman"/>
      <w:lvlText w:val="%3."/>
      <w:lvlJc w:val="right"/>
      <w:pPr>
        <w:tabs>
          <w:tab w:val="num" w:pos="0"/>
        </w:tabs>
        <w:ind w:left="3255" w:hanging="180"/>
      </w:pPr>
    </w:lvl>
    <w:lvl w:ilvl="3" w:tplc="CA280F94">
      <w:start w:val="1"/>
      <w:numFmt w:val="decimal"/>
      <w:lvlText w:val="%4."/>
      <w:lvlJc w:val="left"/>
      <w:pPr>
        <w:tabs>
          <w:tab w:val="num" w:pos="0"/>
        </w:tabs>
        <w:ind w:left="3975" w:hanging="360"/>
      </w:pPr>
    </w:lvl>
    <w:lvl w:ilvl="4" w:tplc="0CE4C798">
      <w:start w:val="1"/>
      <w:numFmt w:val="lowerLetter"/>
      <w:lvlText w:val="%5."/>
      <w:lvlJc w:val="left"/>
      <w:pPr>
        <w:tabs>
          <w:tab w:val="num" w:pos="0"/>
        </w:tabs>
        <w:ind w:left="4695" w:hanging="360"/>
      </w:pPr>
    </w:lvl>
    <w:lvl w:ilvl="5" w:tplc="9DE0367A">
      <w:start w:val="1"/>
      <w:numFmt w:val="lowerRoman"/>
      <w:lvlText w:val="%6."/>
      <w:lvlJc w:val="right"/>
      <w:pPr>
        <w:tabs>
          <w:tab w:val="num" w:pos="0"/>
        </w:tabs>
        <w:ind w:left="5415" w:hanging="180"/>
      </w:pPr>
    </w:lvl>
    <w:lvl w:ilvl="6" w:tplc="51A0F8FC">
      <w:start w:val="1"/>
      <w:numFmt w:val="decimal"/>
      <w:lvlText w:val="%7."/>
      <w:lvlJc w:val="left"/>
      <w:pPr>
        <w:tabs>
          <w:tab w:val="num" w:pos="0"/>
        </w:tabs>
        <w:ind w:left="6135" w:hanging="360"/>
      </w:pPr>
    </w:lvl>
    <w:lvl w:ilvl="7" w:tplc="5FF00968">
      <w:start w:val="1"/>
      <w:numFmt w:val="lowerLetter"/>
      <w:lvlText w:val="%8."/>
      <w:lvlJc w:val="left"/>
      <w:pPr>
        <w:tabs>
          <w:tab w:val="num" w:pos="0"/>
        </w:tabs>
        <w:ind w:left="6855" w:hanging="360"/>
      </w:pPr>
    </w:lvl>
    <w:lvl w:ilvl="8" w:tplc="43767912">
      <w:start w:val="1"/>
      <w:numFmt w:val="lowerRoman"/>
      <w:lvlText w:val="%9."/>
      <w:lvlJc w:val="right"/>
      <w:pPr>
        <w:tabs>
          <w:tab w:val="num" w:pos="0"/>
        </w:tabs>
        <w:ind w:left="7575" w:hanging="180"/>
      </w:pPr>
    </w:lvl>
  </w:abstractNum>
  <w:abstractNum w:abstractNumId="8" w15:restartNumberingAfterBreak="0">
    <w:nsid w:val="2E3C5E89"/>
    <w:multiLevelType w:val="hybridMultilevel"/>
    <w:tmpl w:val="1266257A"/>
    <w:lvl w:ilvl="0" w:tplc="26CE1392">
      <w:start w:val="1"/>
      <w:numFmt w:val="bullet"/>
      <w:lvlText w:val=""/>
      <w:lvlJc w:val="left"/>
      <w:pPr>
        <w:tabs>
          <w:tab w:val="num" w:pos="0"/>
        </w:tabs>
        <w:ind w:left="720" w:hanging="360"/>
      </w:pPr>
      <w:rPr>
        <w:rFonts w:ascii="Wingdings" w:hAnsi="Wingdings" w:cs="Wingdings" w:hint="default"/>
      </w:rPr>
    </w:lvl>
    <w:lvl w:ilvl="1" w:tplc="295403BC">
      <w:start w:val="1"/>
      <w:numFmt w:val="bullet"/>
      <w:lvlText w:val="o"/>
      <w:lvlJc w:val="left"/>
      <w:pPr>
        <w:tabs>
          <w:tab w:val="num" w:pos="0"/>
        </w:tabs>
        <w:ind w:left="1440" w:hanging="360"/>
      </w:pPr>
      <w:rPr>
        <w:rFonts w:ascii="Courier New" w:hAnsi="Courier New" w:cs="Courier New" w:hint="default"/>
      </w:rPr>
    </w:lvl>
    <w:lvl w:ilvl="2" w:tplc="B9B835E2">
      <w:start w:val="1"/>
      <w:numFmt w:val="bullet"/>
      <w:lvlText w:val=""/>
      <w:lvlJc w:val="left"/>
      <w:pPr>
        <w:tabs>
          <w:tab w:val="num" w:pos="0"/>
        </w:tabs>
        <w:ind w:left="2160" w:hanging="360"/>
      </w:pPr>
      <w:rPr>
        <w:rFonts w:ascii="Wingdings" w:hAnsi="Wingdings" w:cs="Wingdings" w:hint="default"/>
      </w:rPr>
    </w:lvl>
    <w:lvl w:ilvl="3" w:tplc="70D2BAD2">
      <w:start w:val="1"/>
      <w:numFmt w:val="bullet"/>
      <w:lvlText w:val=""/>
      <w:lvlJc w:val="left"/>
      <w:pPr>
        <w:tabs>
          <w:tab w:val="num" w:pos="0"/>
        </w:tabs>
        <w:ind w:left="2880" w:hanging="360"/>
      </w:pPr>
      <w:rPr>
        <w:rFonts w:ascii="Symbol" w:hAnsi="Symbol" w:cs="Symbol" w:hint="default"/>
      </w:rPr>
    </w:lvl>
    <w:lvl w:ilvl="4" w:tplc="BE34861C">
      <w:start w:val="1"/>
      <w:numFmt w:val="bullet"/>
      <w:lvlText w:val="o"/>
      <w:lvlJc w:val="left"/>
      <w:pPr>
        <w:tabs>
          <w:tab w:val="num" w:pos="0"/>
        </w:tabs>
        <w:ind w:left="3600" w:hanging="360"/>
      </w:pPr>
      <w:rPr>
        <w:rFonts w:ascii="Courier New" w:hAnsi="Courier New" w:cs="Courier New" w:hint="default"/>
      </w:rPr>
    </w:lvl>
    <w:lvl w:ilvl="5" w:tplc="425C38EA">
      <w:start w:val="1"/>
      <w:numFmt w:val="bullet"/>
      <w:lvlText w:val=""/>
      <w:lvlJc w:val="left"/>
      <w:pPr>
        <w:tabs>
          <w:tab w:val="num" w:pos="0"/>
        </w:tabs>
        <w:ind w:left="4320" w:hanging="360"/>
      </w:pPr>
      <w:rPr>
        <w:rFonts w:ascii="Wingdings" w:hAnsi="Wingdings" w:cs="Wingdings" w:hint="default"/>
      </w:rPr>
    </w:lvl>
    <w:lvl w:ilvl="6" w:tplc="BD6E9AB6">
      <w:start w:val="1"/>
      <w:numFmt w:val="bullet"/>
      <w:lvlText w:val=""/>
      <w:lvlJc w:val="left"/>
      <w:pPr>
        <w:tabs>
          <w:tab w:val="num" w:pos="0"/>
        </w:tabs>
        <w:ind w:left="5040" w:hanging="360"/>
      </w:pPr>
      <w:rPr>
        <w:rFonts w:ascii="Symbol" w:hAnsi="Symbol" w:cs="Symbol" w:hint="default"/>
      </w:rPr>
    </w:lvl>
    <w:lvl w:ilvl="7" w:tplc="D542C6B8">
      <w:start w:val="1"/>
      <w:numFmt w:val="bullet"/>
      <w:lvlText w:val="o"/>
      <w:lvlJc w:val="left"/>
      <w:pPr>
        <w:tabs>
          <w:tab w:val="num" w:pos="0"/>
        </w:tabs>
        <w:ind w:left="5760" w:hanging="360"/>
      </w:pPr>
      <w:rPr>
        <w:rFonts w:ascii="Courier New" w:hAnsi="Courier New" w:cs="Courier New" w:hint="default"/>
      </w:rPr>
    </w:lvl>
    <w:lvl w:ilvl="8" w:tplc="17881736">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5F77237"/>
    <w:multiLevelType w:val="hybridMultilevel"/>
    <w:tmpl w:val="E37208BA"/>
    <w:lvl w:ilvl="0" w:tplc="34448D2A">
      <w:start w:val="1"/>
      <w:numFmt w:val="bullet"/>
      <w:lvlText w:val=""/>
      <w:lvlJc w:val="left"/>
      <w:pPr>
        <w:tabs>
          <w:tab w:val="num" w:pos="0"/>
        </w:tabs>
        <w:ind w:left="720" w:hanging="360"/>
      </w:pPr>
      <w:rPr>
        <w:rFonts w:ascii="Wingdings" w:hAnsi="Wingdings" w:cs="Wingdings" w:hint="default"/>
      </w:rPr>
    </w:lvl>
    <w:lvl w:ilvl="1" w:tplc="230E41E8">
      <w:start w:val="1"/>
      <w:numFmt w:val="bullet"/>
      <w:lvlText w:val="o"/>
      <w:lvlJc w:val="left"/>
      <w:pPr>
        <w:tabs>
          <w:tab w:val="num" w:pos="0"/>
        </w:tabs>
        <w:ind w:left="1440" w:hanging="360"/>
      </w:pPr>
      <w:rPr>
        <w:rFonts w:ascii="Courier New" w:hAnsi="Courier New" w:cs="Courier New" w:hint="default"/>
      </w:rPr>
    </w:lvl>
    <w:lvl w:ilvl="2" w:tplc="BA608674">
      <w:start w:val="1"/>
      <w:numFmt w:val="bullet"/>
      <w:lvlText w:val=""/>
      <w:lvlJc w:val="left"/>
      <w:pPr>
        <w:tabs>
          <w:tab w:val="num" w:pos="0"/>
        </w:tabs>
        <w:ind w:left="2160" w:hanging="360"/>
      </w:pPr>
      <w:rPr>
        <w:rFonts w:ascii="Wingdings" w:hAnsi="Wingdings" w:cs="Wingdings" w:hint="default"/>
      </w:rPr>
    </w:lvl>
    <w:lvl w:ilvl="3" w:tplc="854C422E">
      <w:start w:val="1"/>
      <w:numFmt w:val="bullet"/>
      <w:lvlText w:val=""/>
      <w:lvlJc w:val="left"/>
      <w:pPr>
        <w:tabs>
          <w:tab w:val="num" w:pos="0"/>
        </w:tabs>
        <w:ind w:left="2880" w:hanging="360"/>
      </w:pPr>
      <w:rPr>
        <w:rFonts w:ascii="Symbol" w:hAnsi="Symbol" w:cs="Symbol" w:hint="default"/>
      </w:rPr>
    </w:lvl>
    <w:lvl w:ilvl="4" w:tplc="58DA3668">
      <w:start w:val="1"/>
      <w:numFmt w:val="bullet"/>
      <w:lvlText w:val="o"/>
      <w:lvlJc w:val="left"/>
      <w:pPr>
        <w:tabs>
          <w:tab w:val="num" w:pos="0"/>
        </w:tabs>
        <w:ind w:left="3600" w:hanging="360"/>
      </w:pPr>
      <w:rPr>
        <w:rFonts w:ascii="Courier New" w:hAnsi="Courier New" w:cs="Courier New" w:hint="default"/>
      </w:rPr>
    </w:lvl>
    <w:lvl w:ilvl="5" w:tplc="82D2230E">
      <w:start w:val="1"/>
      <w:numFmt w:val="bullet"/>
      <w:lvlText w:val=""/>
      <w:lvlJc w:val="left"/>
      <w:pPr>
        <w:tabs>
          <w:tab w:val="num" w:pos="0"/>
        </w:tabs>
        <w:ind w:left="4320" w:hanging="360"/>
      </w:pPr>
      <w:rPr>
        <w:rFonts w:ascii="Wingdings" w:hAnsi="Wingdings" w:cs="Wingdings" w:hint="default"/>
      </w:rPr>
    </w:lvl>
    <w:lvl w:ilvl="6" w:tplc="12EEA070">
      <w:start w:val="1"/>
      <w:numFmt w:val="bullet"/>
      <w:lvlText w:val=""/>
      <w:lvlJc w:val="left"/>
      <w:pPr>
        <w:tabs>
          <w:tab w:val="num" w:pos="0"/>
        </w:tabs>
        <w:ind w:left="5040" w:hanging="360"/>
      </w:pPr>
      <w:rPr>
        <w:rFonts w:ascii="Symbol" w:hAnsi="Symbol" w:cs="Symbol" w:hint="default"/>
      </w:rPr>
    </w:lvl>
    <w:lvl w:ilvl="7" w:tplc="82B6DE98">
      <w:start w:val="1"/>
      <w:numFmt w:val="bullet"/>
      <w:lvlText w:val="o"/>
      <w:lvlJc w:val="left"/>
      <w:pPr>
        <w:tabs>
          <w:tab w:val="num" w:pos="0"/>
        </w:tabs>
        <w:ind w:left="5760" w:hanging="360"/>
      </w:pPr>
      <w:rPr>
        <w:rFonts w:ascii="Courier New" w:hAnsi="Courier New" w:cs="Courier New" w:hint="default"/>
      </w:rPr>
    </w:lvl>
    <w:lvl w:ilvl="8" w:tplc="EE12C72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9673B62"/>
    <w:multiLevelType w:val="hybridMultilevel"/>
    <w:tmpl w:val="C05C0B7A"/>
    <w:lvl w:ilvl="0" w:tplc="B9D26040">
      <w:start w:val="1"/>
      <w:numFmt w:val="upperLetter"/>
      <w:lvlText w:val="%1."/>
      <w:lvlJc w:val="left"/>
      <w:pPr>
        <w:tabs>
          <w:tab w:val="num" w:pos="0"/>
        </w:tabs>
        <w:ind w:left="643" w:hanging="360"/>
      </w:pPr>
      <w:rPr>
        <w:sz w:val="28"/>
        <w:szCs w:val="28"/>
      </w:rPr>
    </w:lvl>
    <w:lvl w:ilvl="1" w:tplc="0DF4BF9C">
      <w:start w:val="1"/>
      <w:numFmt w:val="lowerLetter"/>
      <w:lvlText w:val="%2."/>
      <w:lvlJc w:val="left"/>
      <w:pPr>
        <w:tabs>
          <w:tab w:val="num" w:pos="0"/>
        </w:tabs>
        <w:ind w:left="1440" w:hanging="360"/>
      </w:pPr>
    </w:lvl>
    <w:lvl w:ilvl="2" w:tplc="4F9EC9E6">
      <w:start w:val="1"/>
      <w:numFmt w:val="lowerRoman"/>
      <w:lvlText w:val="%3."/>
      <w:lvlJc w:val="right"/>
      <w:pPr>
        <w:tabs>
          <w:tab w:val="num" w:pos="0"/>
        </w:tabs>
        <w:ind w:left="2160" w:hanging="180"/>
      </w:pPr>
    </w:lvl>
    <w:lvl w:ilvl="3" w:tplc="F37A3EBE">
      <w:start w:val="1"/>
      <w:numFmt w:val="decimal"/>
      <w:lvlText w:val="%4."/>
      <w:lvlJc w:val="left"/>
      <w:pPr>
        <w:tabs>
          <w:tab w:val="num" w:pos="0"/>
        </w:tabs>
        <w:ind w:left="2880" w:hanging="360"/>
      </w:pPr>
    </w:lvl>
    <w:lvl w:ilvl="4" w:tplc="68F28C20">
      <w:start w:val="1"/>
      <w:numFmt w:val="lowerLetter"/>
      <w:lvlText w:val="%5."/>
      <w:lvlJc w:val="left"/>
      <w:pPr>
        <w:tabs>
          <w:tab w:val="num" w:pos="0"/>
        </w:tabs>
        <w:ind w:left="3600" w:hanging="360"/>
      </w:pPr>
    </w:lvl>
    <w:lvl w:ilvl="5" w:tplc="4A90F8F6">
      <w:start w:val="1"/>
      <w:numFmt w:val="lowerRoman"/>
      <w:lvlText w:val="%6."/>
      <w:lvlJc w:val="right"/>
      <w:pPr>
        <w:tabs>
          <w:tab w:val="num" w:pos="0"/>
        </w:tabs>
        <w:ind w:left="4320" w:hanging="180"/>
      </w:pPr>
    </w:lvl>
    <w:lvl w:ilvl="6" w:tplc="B58EB7D8">
      <w:start w:val="1"/>
      <w:numFmt w:val="decimal"/>
      <w:lvlText w:val="%7."/>
      <w:lvlJc w:val="left"/>
      <w:pPr>
        <w:tabs>
          <w:tab w:val="num" w:pos="0"/>
        </w:tabs>
        <w:ind w:left="5040" w:hanging="360"/>
      </w:pPr>
    </w:lvl>
    <w:lvl w:ilvl="7" w:tplc="7C8810EE">
      <w:start w:val="1"/>
      <w:numFmt w:val="lowerLetter"/>
      <w:lvlText w:val="%8."/>
      <w:lvlJc w:val="left"/>
      <w:pPr>
        <w:tabs>
          <w:tab w:val="num" w:pos="0"/>
        </w:tabs>
        <w:ind w:left="5760" w:hanging="360"/>
      </w:pPr>
    </w:lvl>
    <w:lvl w:ilvl="8" w:tplc="C914AF0A">
      <w:start w:val="1"/>
      <w:numFmt w:val="lowerRoman"/>
      <w:lvlText w:val="%9."/>
      <w:lvlJc w:val="right"/>
      <w:pPr>
        <w:tabs>
          <w:tab w:val="num" w:pos="0"/>
        </w:tabs>
        <w:ind w:left="6480" w:hanging="180"/>
      </w:pPr>
    </w:lvl>
  </w:abstractNum>
  <w:abstractNum w:abstractNumId="11" w15:restartNumberingAfterBreak="0">
    <w:nsid w:val="4F17675F"/>
    <w:multiLevelType w:val="hybridMultilevel"/>
    <w:tmpl w:val="E68AC802"/>
    <w:lvl w:ilvl="0" w:tplc="94224F2E">
      <w:start w:val="1"/>
      <w:numFmt w:val="decimal"/>
      <w:lvlText w:val="%1."/>
      <w:lvlJc w:val="left"/>
      <w:pPr>
        <w:tabs>
          <w:tab w:val="num" w:pos="709"/>
        </w:tabs>
        <w:ind w:left="2509" w:hanging="360"/>
      </w:pPr>
    </w:lvl>
    <w:lvl w:ilvl="1" w:tplc="31FE3F4E">
      <w:start w:val="1"/>
      <w:numFmt w:val="lowerLetter"/>
      <w:lvlText w:val="%2."/>
      <w:lvlJc w:val="left"/>
      <w:pPr>
        <w:tabs>
          <w:tab w:val="num" w:pos="709"/>
        </w:tabs>
        <w:ind w:left="3229" w:hanging="360"/>
      </w:pPr>
    </w:lvl>
    <w:lvl w:ilvl="2" w:tplc="FE1C1090">
      <w:start w:val="1"/>
      <w:numFmt w:val="lowerRoman"/>
      <w:lvlText w:val="%3."/>
      <w:lvlJc w:val="right"/>
      <w:pPr>
        <w:tabs>
          <w:tab w:val="num" w:pos="709"/>
        </w:tabs>
        <w:ind w:left="3949" w:hanging="180"/>
      </w:pPr>
    </w:lvl>
    <w:lvl w:ilvl="3" w:tplc="E676C1FC">
      <w:start w:val="1"/>
      <w:numFmt w:val="decimal"/>
      <w:lvlText w:val="%4."/>
      <w:lvlJc w:val="left"/>
      <w:pPr>
        <w:tabs>
          <w:tab w:val="num" w:pos="709"/>
        </w:tabs>
        <w:ind w:left="4669" w:hanging="360"/>
      </w:pPr>
    </w:lvl>
    <w:lvl w:ilvl="4" w:tplc="63203634">
      <w:start w:val="1"/>
      <w:numFmt w:val="lowerLetter"/>
      <w:lvlText w:val="%5."/>
      <w:lvlJc w:val="left"/>
      <w:pPr>
        <w:tabs>
          <w:tab w:val="num" w:pos="709"/>
        </w:tabs>
        <w:ind w:left="5389" w:hanging="360"/>
      </w:pPr>
    </w:lvl>
    <w:lvl w:ilvl="5" w:tplc="E8C43AFA">
      <w:start w:val="1"/>
      <w:numFmt w:val="lowerRoman"/>
      <w:lvlText w:val="%6."/>
      <w:lvlJc w:val="right"/>
      <w:pPr>
        <w:tabs>
          <w:tab w:val="num" w:pos="709"/>
        </w:tabs>
        <w:ind w:left="6109" w:hanging="180"/>
      </w:pPr>
    </w:lvl>
    <w:lvl w:ilvl="6" w:tplc="1996003E">
      <w:start w:val="1"/>
      <w:numFmt w:val="decimal"/>
      <w:lvlText w:val="%7."/>
      <w:lvlJc w:val="left"/>
      <w:pPr>
        <w:tabs>
          <w:tab w:val="num" w:pos="709"/>
        </w:tabs>
        <w:ind w:left="6829" w:hanging="360"/>
      </w:pPr>
    </w:lvl>
    <w:lvl w:ilvl="7" w:tplc="89AAC09E">
      <w:start w:val="1"/>
      <w:numFmt w:val="lowerLetter"/>
      <w:lvlText w:val="%8."/>
      <w:lvlJc w:val="left"/>
      <w:pPr>
        <w:tabs>
          <w:tab w:val="num" w:pos="709"/>
        </w:tabs>
        <w:ind w:left="7549" w:hanging="360"/>
      </w:pPr>
    </w:lvl>
    <w:lvl w:ilvl="8" w:tplc="248A04DE">
      <w:start w:val="1"/>
      <w:numFmt w:val="lowerRoman"/>
      <w:lvlText w:val="%9."/>
      <w:lvlJc w:val="right"/>
      <w:pPr>
        <w:tabs>
          <w:tab w:val="num" w:pos="709"/>
        </w:tabs>
        <w:ind w:left="8269" w:hanging="180"/>
      </w:pPr>
    </w:lvl>
  </w:abstractNum>
  <w:abstractNum w:abstractNumId="12" w15:restartNumberingAfterBreak="0">
    <w:nsid w:val="520259DF"/>
    <w:multiLevelType w:val="hybridMultilevel"/>
    <w:tmpl w:val="21E25054"/>
    <w:lvl w:ilvl="0" w:tplc="FC669984">
      <w:start w:val="3"/>
      <w:numFmt w:val="bullet"/>
      <w:lvlText w:val=""/>
      <w:lvlJc w:val="left"/>
      <w:pPr>
        <w:tabs>
          <w:tab w:val="num" w:pos="0"/>
        </w:tabs>
        <w:ind w:left="720" w:hanging="360"/>
      </w:pPr>
      <w:rPr>
        <w:rFonts w:ascii="Wingdings" w:eastAsiaTheme="minorHAnsi" w:hAnsi="Wingdings" w:cstheme="minorHAnsi" w:hint="default"/>
      </w:rPr>
    </w:lvl>
    <w:lvl w:ilvl="1" w:tplc="C7B61AFC">
      <w:start w:val="1"/>
      <w:numFmt w:val="bullet"/>
      <w:lvlText w:val="o"/>
      <w:lvlJc w:val="left"/>
      <w:pPr>
        <w:tabs>
          <w:tab w:val="num" w:pos="0"/>
        </w:tabs>
        <w:ind w:left="1440" w:hanging="360"/>
      </w:pPr>
      <w:rPr>
        <w:rFonts w:ascii="Courier New" w:hAnsi="Courier New" w:cs="Courier New" w:hint="default"/>
      </w:rPr>
    </w:lvl>
    <w:lvl w:ilvl="2" w:tplc="A6B86684">
      <w:start w:val="1"/>
      <w:numFmt w:val="bullet"/>
      <w:lvlText w:val=""/>
      <w:lvlJc w:val="left"/>
      <w:pPr>
        <w:tabs>
          <w:tab w:val="num" w:pos="0"/>
        </w:tabs>
        <w:ind w:left="2160" w:hanging="360"/>
      </w:pPr>
      <w:rPr>
        <w:rFonts w:ascii="Wingdings" w:hAnsi="Wingdings" w:cs="Wingdings" w:hint="default"/>
      </w:rPr>
    </w:lvl>
    <w:lvl w:ilvl="3" w:tplc="37F40D8A">
      <w:start w:val="1"/>
      <w:numFmt w:val="bullet"/>
      <w:lvlText w:val=""/>
      <w:lvlJc w:val="left"/>
      <w:pPr>
        <w:tabs>
          <w:tab w:val="num" w:pos="0"/>
        </w:tabs>
        <w:ind w:left="2880" w:hanging="360"/>
      </w:pPr>
      <w:rPr>
        <w:rFonts w:ascii="Symbol" w:hAnsi="Symbol" w:cs="Symbol" w:hint="default"/>
      </w:rPr>
    </w:lvl>
    <w:lvl w:ilvl="4" w:tplc="B37C15B6">
      <w:start w:val="1"/>
      <w:numFmt w:val="bullet"/>
      <w:lvlText w:val="o"/>
      <w:lvlJc w:val="left"/>
      <w:pPr>
        <w:tabs>
          <w:tab w:val="num" w:pos="0"/>
        </w:tabs>
        <w:ind w:left="3600" w:hanging="360"/>
      </w:pPr>
      <w:rPr>
        <w:rFonts w:ascii="Courier New" w:hAnsi="Courier New" w:cs="Courier New" w:hint="default"/>
      </w:rPr>
    </w:lvl>
    <w:lvl w:ilvl="5" w:tplc="66BCA44C">
      <w:start w:val="1"/>
      <w:numFmt w:val="bullet"/>
      <w:lvlText w:val=""/>
      <w:lvlJc w:val="left"/>
      <w:pPr>
        <w:tabs>
          <w:tab w:val="num" w:pos="0"/>
        </w:tabs>
        <w:ind w:left="4320" w:hanging="360"/>
      </w:pPr>
      <w:rPr>
        <w:rFonts w:ascii="Wingdings" w:hAnsi="Wingdings" w:cs="Wingdings" w:hint="default"/>
      </w:rPr>
    </w:lvl>
    <w:lvl w:ilvl="6" w:tplc="8084BE5A">
      <w:start w:val="1"/>
      <w:numFmt w:val="bullet"/>
      <w:lvlText w:val=""/>
      <w:lvlJc w:val="left"/>
      <w:pPr>
        <w:tabs>
          <w:tab w:val="num" w:pos="0"/>
        </w:tabs>
        <w:ind w:left="5040" w:hanging="360"/>
      </w:pPr>
      <w:rPr>
        <w:rFonts w:ascii="Symbol" w:hAnsi="Symbol" w:cs="Symbol" w:hint="default"/>
      </w:rPr>
    </w:lvl>
    <w:lvl w:ilvl="7" w:tplc="1FC08A0E">
      <w:start w:val="1"/>
      <w:numFmt w:val="bullet"/>
      <w:lvlText w:val="o"/>
      <w:lvlJc w:val="left"/>
      <w:pPr>
        <w:tabs>
          <w:tab w:val="num" w:pos="0"/>
        </w:tabs>
        <w:ind w:left="5760" w:hanging="360"/>
      </w:pPr>
      <w:rPr>
        <w:rFonts w:ascii="Courier New" w:hAnsi="Courier New" w:cs="Courier New" w:hint="default"/>
      </w:rPr>
    </w:lvl>
    <w:lvl w:ilvl="8" w:tplc="E4A04DE0">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3C20E2D"/>
    <w:multiLevelType w:val="hybridMultilevel"/>
    <w:tmpl w:val="0D7A5044"/>
    <w:lvl w:ilvl="0" w:tplc="B88A19C0">
      <w:start w:val="1"/>
      <w:numFmt w:val="none"/>
      <w:suff w:val="nothing"/>
      <w:lvlText w:val=""/>
      <w:lvlJc w:val="left"/>
      <w:pPr>
        <w:tabs>
          <w:tab w:val="num" w:pos="0"/>
        </w:tabs>
        <w:ind w:left="0" w:firstLine="0"/>
      </w:pPr>
    </w:lvl>
    <w:lvl w:ilvl="1" w:tplc="2C7013FA">
      <w:start w:val="1"/>
      <w:numFmt w:val="none"/>
      <w:suff w:val="nothing"/>
      <w:lvlText w:val=""/>
      <w:lvlJc w:val="left"/>
      <w:pPr>
        <w:tabs>
          <w:tab w:val="num" w:pos="0"/>
        </w:tabs>
        <w:ind w:left="0" w:firstLine="0"/>
      </w:pPr>
    </w:lvl>
    <w:lvl w:ilvl="2" w:tplc="C838951A">
      <w:start w:val="1"/>
      <w:numFmt w:val="none"/>
      <w:suff w:val="nothing"/>
      <w:lvlText w:val=""/>
      <w:lvlJc w:val="left"/>
      <w:pPr>
        <w:tabs>
          <w:tab w:val="num" w:pos="0"/>
        </w:tabs>
        <w:ind w:left="0" w:firstLine="0"/>
      </w:pPr>
    </w:lvl>
    <w:lvl w:ilvl="3" w:tplc="7B200AD6">
      <w:start w:val="1"/>
      <w:numFmt w:val="none"/>
      <w:suff w:val="nothing"/>
      <w:lvlText w:val=""/>
      <w:lvlJc w:val="left"/>
      <w:pPr>
        <w:tabs>
          <w:tab w:val="num" w:pos="0"/>
        </w:tabs>
        <w:ind w:left="0" w:firstLine="0"/>
      </w:pPr>
    </w:lvl>
    <w:lvl w:ilvl="4" w:tplc="35A8F2F2">
      <w:start w:val="1"/>
      <w:numFmt w:val="none"/>
      <w:suff w:val="nothing"/>
      <w:lvlText w:val=""/>
      <w:lvlJc w:val="left"/>
      <w:pPr>
        <w:tabs>
          <w:tab w:val="num" w:pos="0"/>
        </w:tabs>
        <w:ind w:left="0" w:firstLine="0"/>
      </w:pPr>
    </w:lvl>
    <w:lvl w:ilvl="5" w:tplc="BCB876E2">
      <w:start w:val="1"/>
      <w:numFmt w:val="none"/>
      <w:suff w:val="nothing"/>
      <w:lvlText w:val=""/>
      <w:lvlJc w:val="left"/>
      <w:pPr>
        <w:tabs>
          <w:tab w:val="num" w:pos="0"/>
        </w:tabs>
        <w:ind w:left="0" w:firstLine="0"/>
      </w:pPr>
    </w:lvl>
    <w:lvl w:ilvl="6" w:tplc="1F0A2128">
      <w:start w:val="1"/>
      <w:numFmt w:val="none"/>
      <w:suff w:val="nothing"/>
      <w:lvlText w:val=""/>
      <w:lvlJc w:val="left"/>
      <w:pPr>
        <w:tabs>
          <w:tab w:val="num" w:pos="0"/>
        </w:tabs>
        <w:ind w:left="0" w:firstLine="0"/>
      </w:pPr>
    </w:lvl>
    <w:lvl w:ilvl="7" w:tplc="722EB3B0">
      <w:start w:val="1"/>
      <w:numFmt w:val="none"/>
      <w:suff w:val="nothing"/>
      <w:lvlText w:val=""/>
      <w:lvlJc w:val="left"/>
      <w:pPr>
        <w:tabs>
          <w:tab w:val="num" w:pos="0"/>
        </w:tabs>
        <w:ind w:left="0" w:firstLine="0"/>
      </w:pPr>
    </w:lvl>
    <w:lvl w:ilvl="8" w:tplc="D756C0B0">
      <w:start w:val="1"/>
      <w:numFmt w:val="none"/>
      <w:suff w:val="nothing"/>
      <w:lvlText w:val=""/>
      <w:lvlJc w:val="left"/>
      <w:pPr>
        <w:tabs>
          <w:tab w:val="num" w:pos="0"/>
        </w:tabs>
        <w:ind w:left="0" w:firstLine="0"/>
      </w:pPr>
    </w:lvl>
  </w:abstractNum>
  <w:abstractNum w:abstractNumId="14" w15:restartNumberingAfterBreak="0">
    <w:nsid w:val="5A262C2F"/>
    <w:multiLevelType w:val="hybridMultilevel"/>
    <w:tmpl w:val="7848DAD2"/>
    <w:lvl w:ilvl="0" w:tplc="2C14824E">
      <w:start w:val="1"/>
      <w:numFmt w:val="upperLetter"/>
      <w:lvlText w:val="%1."/>
      <w:lvlJc w:val="left"/>
      <w:pPr>
        <w:tabs>
          <w:tab w:val="num" w:pos="0"/>
        </w:tabs>
        <w:ind w:left="1440" w:hanging="360"/>
      </w:pPr>
    </w:lvl>
    <w:lvl w:ilvl="1" w:tplc="74CE6B10">
      <w:start w:val="1"/>
      <w:numFmt w:val="lowerLetter"/>
      <w:lvlText w:val="%2."/>
      <w:lvlJc w:val="left"/>
      <w:pPr>
        <w:tabs>
          <w:tab w:val="num" w:pos="0"/>
        </w:tabs>
        <w:ind w:left="2160" w:hanging="360"/>
      </w:pPr>
    </w:lvl>
    <w:lvl w:ilvl="2" w:tplc="E176073C">
      <w:start w:val="1"/>
      <w:numFmt w:val="lowerRoman"/>
      <w:lvlText w:val="%3."/>
      <w:lvlJc w:val="right"/>
      <w:pPr>
        <w:tabs>
          <w:tab w:val="num" w:pos="0"/>
        </w:tabs>
        <w:ind w:left="2880" w:hanging="180"/>
      </w:pPr>
    </w:lvl>
    <w:lvl w:ilvl="3" w:tplc="E8BAAFD2">
      <w:start w:val="1"/>
      <w:numFmt w:val="decimal"/>
      <w:lvlText w:val="%4."/>
      <w:lvlJc w:val="left"/>
      <w:pPr>
        <w:tabs>
          <w:tab w:val="num" w:pos="0"/>
        </w:tabs>
        <w:ind w:left="3600" w:hanging="360"/>
      </w:pPr>
    </w:lvl>
    <w:lvl w:ilvl="4" w:tplc="90DCBFF2">
      <w:start w:val="1"/>
      <w:numFmt w:val="lowerLetter"/>
      <w:lvlText w:val="%5."/>
      <w:lvlJc w:val="left"/>
      <w:pPr>
        <w:tabs>
          <w:tab w:val="num" w:pos="0"/>
        </w:tabs>
        <w:ind w:left="4320" w:hanging="360"/>
      </w:pPr>
    </w:lvl>
    <w:lvl w:ilvl="5" w:tplc="412A6DDE">
      <w:start w:val="1"/>
      <w:numFmt w:val="lowerRoman"/>
      <w:lvlText w:val="%6."/>
      <w:lvlJc w:val="right"/>
      <w:pPr>
        <w:tabs>
          <w:tab w:val="num" w:pos="0"/>
        </w:tabs>
        <w:ind w:left="5040" w:hanging="180"/>
      </w:pPr>
    </w:lvl>
    <w:lvl w:ilvl="6" w:tplc="638EAD52">
      <w:start w:val="1"/>
      <w:numFmt w:val="decimal"/>
      <w:lvlText w:val="%7."/>
      <w:lvlJc w:val="left"/>
      <w:pPr>
        <w:tabs>
          <w:tab w:val="num" w:pos="0"/>
        </w:tabs>
        <w:ind w:left="5760" w:hanging="360"/>
      </w:pPr>
    </w:lvl>
    <w:lvl w:ilvl="7" w:tplc="9602309E">
      <w:start w:val="1"/>
      <w:numFmt w:val="lowerLetter"/>
      <w:lvlText w:val="%8."/>
      <w:lvlJc w:val="left"/>
      <w:pPr>
        <w:tabs>
          <w:tab w:val="num" w:pos="0"/>
        </w:tabs>
        <w:ind w:left="6480" w:hanging="360"/>
      </w:pPr>
    </w:lvl>
    <w:lvl w:ilvl="8" w:tplc="6C8A6DCE">
      <w:start w:val="1"/>
      <w:numFmt w:val="lowerRoman"/>
      <w:lvlText w:val="%9."/>
      <w:lvlJc w:val="right"/>
      <w:pPr>
        <w:tabs>
          <w:tab w:val="num" w:pos="0"/>
        </w:tabs>
        <w:ind w:left="7200" w:hanging="180"/>
      </w:pPr>
    </w:lvl>
  </w:abstractNum>
  <w:abstractNum w:abstractNumId="15" w15:restartNumberingAfterBreak="0">
    <w:nsid w:val="5F4B02F3"/>
    <w:multiLevelType w:val="hybridMultilevel"/>
    <w:tmpl w:val="9B220860"/>
    <w:lvl w:ilvl="0" w:tplc="AD704960">
      <w:start w:val="1"/>
      <w:numFmt w:val="upperRoman"/>
      <w:lvlText w:val="%1-"/>
      <w:lvlJc w:val="left"/>
      <w:pPr>
        <w:tabs>
          <w:tab w:val="num" w:pos="0"/>
        </w:tabs>
        <w:ind w:left="1080" w:hanging="720"/>
      </w:pPr>
    </w:lvl>
    <w:lvl w:ilvl="1" w:tplc="3E128358">
      <w:start w:val="1"/>
      <w:numFmt w:val="lowerLetter"/>
      <w:lvlText w:val="%2."/>
      <w:lvlJc w:val="left"/>
      <w:pPr>
        <w:tabs>
          <w:tab w:val="num" w:pos="0"/>
        </w:tabs>
        <w:ind w:left="1440" w:hanging="360"/>
      </w:pPr>
    </w:lvl>
    <w:lvl w:ilvl="2" w:tplc="70C804E8">
      <w:start w:val="1"/>
      <w:numFmt w:val="lowerRoman"/>
      <w:lvlText w:val="%3."/>
      <w:lvlJc w:val="right"/>
      <w:pPr>
        <w:tabs>
          <w:tab w:val="num" w:pos="0"/>
        </w:tabs>
        <w:ind w:left="2160" w:hanging="180"/>
      </w:pPr>
    </w:lvl>
    <w:lvl w:ilvl="3" w:tplc="97A87986">
      <w:start w:val="1"/>
      <w:numFmt w:val="decimal"/>
      <w:lvlText w:val="%4."/>
      <w:lvlJc w:val="left"/>
      <w:pPr>
        <w:tabs>
          <w:tab w:val="num" w:pos="0"/>
        </w:tabs>
        <w:ind w:left="2880" w:hanging="360"/>
      </w:pPr>
    </w:lvl>
    <w:lvl w:ilvl="4" w:tplc="93AC974C">
      <w:start w:val="1"/>
      <w:numFmt w:val="lowerLetter"/>
      <w:lvlText w:val="%5."/>
      <w:lvlJc w:val="left"/>
      <w:pPr>
        <w:tabs>
          <w:tab w:val="num" w:pos="0"/>
        </w:tabs>
        <w:ind w:left="3600" w:hanging="360"/>
      </w:pPr>
    </w:lvl>
    <w:lvl w:ilvl="5" w:tplc="DB422AF4">
      <w:start w:val="1"/>
      <w:numFmt w:val="lowerRoman"/>
      <w:lvlText w:val="%6."/>
      <w:lvlJc w:val="right"/>
      <w:pPr>
        <w:tabs>
          <w:tab w:val="num" w:pos="0"/>
        </w:tabs>
        <w:ind w:left="4320" w:hanging="180"/>
      </w:pPr>
    </w:lvl>
    <w:lvl w:ilvl="6" w:tplc="3ABCC45C">
      <w:start w:val="1"/>
      <w:numFmt w:val="decimal"/>
      <w:lvlText w:val="%7."/>
      <w:lvlJc w:val="left"/>
      <w:pPr>
        <w:tabs>
          <w:tab w:val="num" w:pos="0"/>
        </w:tabs>
        <w:ind w:left="5040" w:hanging="360"/>
      </w:pPr>
    </w:lvl>
    <w:lvl w:ilvl="7" w:tplc="8D486BA0">
      <w:start w:val="1"/>
      <w:numFmt w:val="lowerLetter"/>
      <w:lvlText w:val="%8."/>
      <w:lvlJc w:val="left"/>
      <w:pPr>
        <w:tabs>
          <w:tab w:val="num" w:pos="0"/>
        </w:tabs>
        <w:ind w:left="5760" w:hanging="360"/>
      </w:pPr>
    </w:lvl>
    <w:lvl w:ilvl="8" w:tplc="709EF79E">
      <w:start w:val="1"/>
      <w:numFmt w:val="lowerRoman"/>
      <w:lvlText w:val="%9."/>
      <w:lvlJc w:val="right"/>
      <w:pPr>
        <w:tabs>
          <w:tab w:val="num" w:pos="0"/>
        </w:tabs>
        <w:ind w:left="6480" w:hanging="180"/>
      </w:pPr>
    </w:lvl>
  </w:abstractNum>
  <w:abstractNum w:abstractNumId="16" w15:restartNumberingAfterBreak="0">
    <w:nsid w:val="69B93E53"/>
    <w:multiLevelType w:val="hybridMultilevel"/>
    <w:tmpl w:val="71F676C6"/>
    <w:lvl w:ilvl="0" w:tplc="EEE6B296">
      <w:start w:val="1"/>
      <w:numFmt w:val="upperLetter"/>
      <w:lvlText w:val="%1."/>
      <w:lvlJc w:val="left"/>
      <w:pPr>
        <w:tabs>
          <w:tab w:val="num" w:pos="0"/>
        </w:tabs>
        <w:ind w:left="360" w:hanging="360"/>
      </w:pPr>
      <w:rPr>
        <w:sz w:val="22"/>
        <w:szCs w:val="22"/>
      </w:rPr>
    </w:lvl>
    <w:lvl w:ilvl="1" w:tplc="D94AAC60">
      <w:start w:val="1"/>
      <w:numFmt w:val="lowerLetter"/>
      <w:lvlText w:val="%2."/>
      <w:lvlJc w:val="left"/>
      <w:pPr>
        <w:tabs>
          <w:tab w:val="num" w:pos="0"/>
        </w:tabs>
        <w:ind w:left="1080" w:hanging="360"/>
      </w:pPr>
    </w:lvl>
    <w:lvl w:ilvl="2" w:tplc="644414D8">
      <w:start w:val="1"/>
      <w:numFmt w:val="lowerRoman"/>
      <w:lvlText w:val="%3."/>
      <w:lvlJc w:val="right"/>
      <w:pPr>
        <w:tabs>
          <w:tab w:val="num" w:pos="0"/>
        </w:tabs>
        <w:ind w:left="1800" w:hanging="180"/>
      </w:pPr>
    </w:lvl>
    <w:lvl w:ilvl="3" w:tplc="2248A5B6">
      <w:start w:val="1"/>
      <w:numFmt w:val="decimal"/>
      <w:lvlText w:val="%4."/>
      <w:lvlJc w:val="left"/>
      <w:pPr>
        <w:tabs>
          <w:tab w:val="num" w:pos="0"/>
        </w:tabs>
        <w:ind w:left="2520" w:hanging="360"/>
      </w:pPr>
    </w:lvl>
    <w:lvl w:ilvl="4" w:tplc="D89694BE">
      <w:start w:val="1"/>
      <w:numFmt w:val="lowerLetter"/>
      <w:lvlText w:val="%5."/>
      <w:lvlJc w:val="left"/>
      <w:pPr>
        <w:tabs>
          <w:tab w:val="num" w:pos="0"/>
        </w:tabs>
        <w:ind w:left="3240" w:hanging="360"/>
      </w:pPr>
    </w:lvl>
    <w:lvl w:ilvl="5" w:tplc="B284E9F6">
      <w:start w:val="1"/>
      <w:numFmt w:val="lowerRoman"/>
      <w:lvlText w:val="%6."/>
      <w:lvlJc w:val="right"/>
      <w:pPr>
        <w:tabs>
          <w:tab w:val="num" w:pos="0"/>
        </w:tabs>
        <w:ind w:left="3960" w:hanging="180"/>
      </w:pPr>
    </w:lvl>
    <w:lvl w:ilvl="6" w:tplc="4A8C5C3E">
      <w:start w:val="1"/>
      <w:numFmt w:val="decimal"/>
      <w:lvlText w:val="%7."/>
      <w:lvlJc w:val="left"/>
      <w:pPr>
        <w:tabs>
          <w:tab w:val="num" w:pos="0"/>
        </w:tabs>
        <w:ind w:left="4680" w:hanging="360"/>
      </w:pPr>
    </w:lvl>
    <w:lvl w:ilvl="7" w:tplc="172421F0">
      <w:start w:val="1"/>
      <w:numFmt w:val="lowerLetter"/>
      <w:lvlText w:val="%8."/>
      <w:lvlJc w:val="left"/>
      <w:pPr>
        <w:tabs>
          <w:tab w:val="num" w:pos="0"/>
        </w:tabs>
        <w:ind w:left="5400" w:hanging="360"/>
      </w:pPr>
    </w:lvl>
    <w:lvl w:ilvl="8" w:tplc="34CCD872">
      <w:start w:val="1"/>
      <w:numFmt w:val="lowerRoman"/>
      <w:lvlText w:val="%9."/>
      <w:lvlJc w:val="right"/>
      <w:pPr>
        <w:tabs>
          <w:tab w:val="num" w:pos="0"/>
        </w:tabs>
        <w:ind w:left="6120" w:hanging="180"/>
      </w:pPr>
    </w:lvl>
  </w:abstractNum>
  <w:abstractNum w:abstractNumId="17" w15:restartNumberingAfterBreak="0">
    <w:nsid w:val="74925BFF"/>
    <w:multiLevelType w:val="hybridMultilevel"/>
    <w:tmpl w:val="2EEEDC5A"/>
    <w:lvl w:ilvl="0" w:tplc="E4A42BA4">
      <w:start w:val="1"/>
      <w:numFmt w:val="bullet"/>
      <w:lvlText w:val="-"/>
      <w:lvlJc w:val="left"/>
      <w:pPr>
        <w:tabs>
          <w:tab w:val="num" w:pos="0"/>
        </w:tabs>
        <w:ind w:left="720" w:hanging="360"/>
      </w:pPr>
      <w:rPr>
        <w:rFonts w:ascii="Calibri" w:eastAsiaTheme="minorHAnsi" w:hAnsi="Calibri" w:cs="Calibri" w:hint="default"/>
      </w:rPr>
    </w:lvl>
    <w:lvl w:ilvl="1" w:tplc="7D825A48">
      <w:start w:val="1"/>
      <w:numFmt w:val="bullet"/>
      <w:lvlText w:val="o"/>
      <w:lvlJc w:val="left"/>
      <w:pPr>
        <w:tabs>
          <w:tab w:val="num" w:pos="0"/>
        </w:tabs>
        <w:ind w:left="1440" w:hanging="360"/>
      </w:pPr>
      <w:rPr>
        <w:rFonts w:ascii="Courier New" w:hAnsi="Courier New" w:cs="Courier New" w:hint="default"/>
      </w:rPr>
    </w:lvl>
    <w:lvl w:ilvl="2" w:tplc="F8E0715A">
      <w:start w:val="1"/>
      <w:numFmt w:val="bullet"/>
      <w:lvlText w:val=""/>
      <w:lvlJc w:val="left"/>
      <w:pPr>
        <w:tabs>
          <w:tab w:val="num" w:pos="0"/>
        </w:tabs>
        <w:ind w:left="2160" w:hanging="360"/>
      </w:pPr>
      <w:rPr>
        <w:rFonts w:ascii="Wingdings" w:hAnsi="Wingdings" w:cs="Wingdings" w:hint="default"/>
      </w:rPr>
    </w:lvl>
    <w:lvl w:ilvl="3" w:tplc="1116DF0E">
      <w:start w:val="1"/>
      <w:numFmt w:val="bullet"/>
      <w:lvlText w:val=""/>
      <w:lvlJc w:val="left"/>
      <w:pPr>
        <w:tabs>
          <w:tab w:val="num" w:pos="0"/>
        </w:tabs>
        <w:ind w:left="2880" w:hanging="360"/>
      </w:pPr>
      <w:rPr>
        <w:rFonts w:ascii="Symbol" w:hAnsi="Symbol" w:cs="Symbol" w:hint="default"/>
      </w:rPr>
    </w:lvl>
    <w:lvl w:ilvl="4" w:tplc="A2F056C4">
      <w:start w:val="1"/>
      <w:numFmt w:val="bullet"/>
      <w:lvlText w:val="o"/>
      <w:lvlJc w:val="left"/>
      <w:pPr>
        <w:tabs>
          <w:tab w:val="num" w:pos="0"/>
        </w:tabs>
        <w:ind w:left="3600" w:hanging="360"/>
      </w:pPr>
      <w:rPr>
        <w:rFonts w:ascii="Courier New" w:hAnsi="Courier New" w:cs="Courier New" w:hint="default"/>
      </w:rPr>
    </w:lvl>
    <w:lvl w:ilvl="5" w:tplc="2E6A0924">
      <w:start w:val="1"/>
      <w:numFmt w:val="bullet"/>
      <w:lvlText w:val=""/>
      <w:lvlJc w:val="left"/>
      <w:pPr>
        <w:tabs>
          <w:tab w:val="num" w:pos="0"/>
        </w:tabs>
        <w:ind w:left="4320" w:hanging="360"/>
      </w:pPr>
      <w:rPr>
        <w:rFonts w:ascii="Wingdings" w:hAnsi="Wingdings" w:cs="Wingdings" w:hint="default"/>
      </w:rPr>
    </w:lvl>
    <w:lvl w:ilvl="6" w:tplc="E8E67CA8">
      <w:start w:val="1"/>
      <w:numFmt w:val="bullet"/>
      <w:lvlText w:val=""/>
      <w:lvlJc w:val="left"/>
      <w:pPr>
        <w:tabs>
          <w:tab w:val="num" w:pos="0"/>
        </w:tabs>
        <w:ind w:left="5040" w:hanging="360"/>
      </w:pPr>
      <w:rPr>
        <w:rFonts w:ascii="Symbol" w:hAnsi="Symbol" w:cs="Symbol" w:hint="default"/>
      </w:rPr>
    </w:lvl>
    <w:lvl w:ilvl="7" w:tplc="94BC652A">
      <w:start w:val="1"/>
      <w:numFmt w:val="bullet"/>
      <w:lvlText w:val="o"/>
      <w:lvlJc w:val="left"/>
      <w:pPr>
        <w:tabs>
          <w:tab w:val="num" w:pos="0"/>
        </w:tabs>
        <w:ind w:left="5760" w:hanging="360"/>
      </w:pPr>
      <w:rPr>
        <w:rFonts w:ascii="Courier New" w:hAnsi="Courier New" w:cs="Courier New" w:hint="default"/>
      </w:rPr>
    </w:lvl>
    <w:lvl w:ilvl="8" w:tplc="6AC6B64C">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5DC3F3C"/>
    <w:multiLevelType w:val="hybridMultilevel"/>
    <w:tmpl w:val="668ED008"/>
    <w:lvl w:ilvl="0" w:tplc="55343ABC">
      <w:start w:val="1"/>
      <w:numFmt w:val="upperLetter"/>
      <w:lvlText w:val="%1."/>
      <w:lvlJc w:val="left"/>
      <w:pPr>
        <w:tabs>
          <w:tab w:val="num" w:pos="-1095"/>
        </w:tabs>
        <w:ind w:left="360" w:hanging="360"/>
      </w:pPr>
    </w:lvl>
    <w:lvl w:ilvl="1" w:tplc="B91E2C10">
      <w:start w:val="1"/>
      <w:numFmt w:val="lowerLetter"/>
      <w:lvlText w:val="%2."/>
      <w:lvlJc w:val="left"/>
      <w:pPr>
        <w:tabs>
          <w:tab w:val="num" w:pos="0"/>
        </w:tabs>
        <w:ind w:left="2175" w:hanging="360"/>
      </w:pPr>
    </w:lvl>
    <w:lvl w:ilvl="2" w:tplc="D3201352">
      <w:start w:val="1"/>
      <w:numFmt w:val="lowerRoman"/>
      <w:lvlText w:val="%3."/>
      <w:lvlJc w:val="right"/>
      <w:pPr>
        <w:tabs>
          <w:tab w:val="num" w:pos="0"/>
        </w:tabs>
        <w:ind w:left="2895" w:hanging="180"/>
      </w:pPr>
    </w:lvl>
    <w:lvl w:ilvl="3" w:tplc="7220A5A4">
      <w:start w:val="1"/>
      <w:numFmt w:val="decimal"/>
      <w:lvlText w:val="%4."/>
      <w:lvlJc w:val="left"/>
      <w:pPr>
        <w:tabs>
          <w:tab w:val="num" w:pos="0"/>
        </w:tabs>
        <w:ind w:left="3615" w:hanging="360"/>
      </w:pPr>
    </w:lvl>
    <w:lvl w:ilvl="4" w:tplc="209E8E58">
      <w:start w:val="1"/>
      <w:numFmt w:val="lowerLetter"/>
      <w:lvlText w:val="%5."/>
      <w:lvlJc w:val="left"/>
      <w:pPr>
        <w:tabs>
          <w:tab w:val="num" w:pos="0"/>
        </w:tabs>
        <w:ind w:left="4335" w:hanging="360"/>
      </w:pPr>
    </w:lvl>
    <w:lvl w:ilvl="5" w:tplc="6240B4A8">
      <w:start w:val="1"/>
      <w:numFmt w:val="lowerRoman"/>
      <w:lvlText w:val="%6."/>
      <w:lvlJc w:val="right"/>
      <w:pPr>
        <w:tabs>
          <w:tab w:val="num" w:pos="0"/>
        </w:tabs>
        <w:ind w:left="5055" w:hanging="180"/>
      </w:pPr>
    </w:lvl>
    <w:lvl w:ilvl="6" w:tplc="1A126608">
      <w:start w:val="1"/>
      <w:numFmt w:val="decimal"/>
      <w:lvlText w:val="%7."/>
      <w:lvlJc w:val="left"/>
      <w:pPr>
        <w:tabs>
          <w:tab w:val="num" w:pos="0"/>
        </w:tabs>
        <w:ind w:left="5775" w:hanging="360"/>
      </w:pPr>
    </w:lvl>
    <w:lvl w:ilvl="7" w:tplc="98C8C4E0">
      <w:start w:val="1"/>
      <w:numFmt w:val="lowerLetter"/>
      <w:lvlText w:val="%8."/>
      <w:lvlJc w:val="left"/>
      <w:pPr>
        <w:tabs>
          <w:tab w:val="num" w:pos="0"/>
        </w:tabs>
        <w:ind w:left="6495" w:hanging="360"/>
      </w:pPr>
    </w:lvl>
    <w:lvl w:ilvl="8" w:tplc="49906F4C">
      <w:start w:val="1"/>
      <w:numFmt w:val="lowerRoman"/>
      <w:lvlText w:val="%9."/>
      <w:lvlJc w:val="right"/>
      <w:pPr>
        <w:tabs>
          <w:tab w:val="num" w:pos="0"/>
        </w:tabs>
        <w:ind w:left="7215" w:hanging="180"/>
      </w:pPr>
    </w:lvl>
  </w:abstractNum>
  <w:abstractNum w:abstractNumId="19" w15:restartNumberingAfterBreak="0">
    <w:nsid w:val="770019C0"/>
    <w:multiLevelType w:val="hybridMultilevel"/>
    <w:tmpl w:val="33083592"/>
    <w:lvl w:ilvl="0" w:tplc="6D12A85A">
      <w:start w:val="1"/>
      <w:numFmt w:val="upperLetter"/>
      <w:lvlText w:val="%1."/>
      <w:lvlJc w:val="left"/>
      <w:pPr>
        <w:tabs>
          <w:tab w:val="num" w:pos="0"/>
        </w:tabs>
        <w:ind w:left="720" w:hanging="360"/>
      </w:pPr>
    </w:lvl>
    <w:lvl w:ilvl="1" w:tplc="31BEC93E">
      <w:start w:val="1"/>
      <w:numFmt w:val="lowerLetter"/>
      <w:lvlText w:val="%2."/>
      <w:lvlJc w:val="left"/>
      <w:pPr>
        <w:tabs>
          <w:tab w:val="num" w:pos="0"/>
        </w:tabs>
        <w:ind w:left="1440" w:hanging="360"/>
      </w:pPr>
    </w:lvl>
    <w:lvl w:ilvl="2" w:tplc="D9F411F6">
      <w:start w:val="1"/>
      <w:numFmt w:val="lowerRoman"/>
      <w:lvlText w:val="%3."/>
      <w:lvlJc w:val="right"/>
      <w:pPr>
        <w:tabs>
          <w:tab w:val="num" w:pos="0"/>
        </w:tabs>
        <w:ind w:left="2160" w:hanging="180"/>
      </w:pPr>
    </w:lvl>
    <w:lvl w:ilvl="3" w:tplc="7E9A7600">
      <w:start w:val="1"/>
      <w:numFmt w:val="decimal"/>
      <w:lvlText w:val="%4."/>
      <w:lvlJc w:val="left"/>
      <w:pPr>
        <w:tabs>
          <w:tab w:val="num" w:pos="0"/>
        </w:tabs>
        <w:ind w:left="2880" w:hanging="360"/>
      </w:pPr>
    </w:lvl>
    <w:lvl w:ilvl="4" w:tplc="38D013A8">
      <w:start w:val="1"/>
      <w:numFmt w:val="lowerLetter"/>
      <w:lvlText w:val="%5."/>
      <w:lvlJc w:val="left"/>
      <w:pPr>
        <w:tabs>
          <w:tab w:val="num" w:pos="0"/>
        </w:tabs>
        <w:ind w:left="3600" w:hanging="360"/>
      </w:pPr>
    </w:lvl>
    <w:lvl w:ilvl="5" w:tplc="8E221B8A">
      <w:start w:val="1"/>
      <w:numFmt w:val="lowerRoman"/>
      <w:lvlText w:val="%6."/>
      <w:lvlJc w:val="right"/>
      <w:pPr>
        <w:tabs>
          <w:tab w:val="num" w:pos="0"/>
        </w:tabs>
        <w:ind w:left="4320" w:hanging="180"/>
      </w:pPr>
    </w:lvl>
    <w:lvl w:ilvl="6" w:tplc="F1667372">
      <w:start w:val="1"/>
      <w:numFmt w:val="decimal"/>
      <w:lvlText w:val="%7."/>
      <w:lvlJc w:val="left"/>
      <w:pPr>
        <w:tabs>
          <w:tab w:val="num" w:pos="0"/>
        </w:tabs>
        <w:ind w:left="5040" w:hanging="360"/>
      </w:pPr>
    </w:lvl>
    <w:lvl w:ilvl="7" w:tplc="4F781CE6">
      <w:start w:val="1"/>
      <w:numFmt w:val="lowerLetter"/>
      <w:lvlText w:val="%8."/>
      <w:lvlJc w:val="left"/>
      <w:pPr>
        <w:tabs>
          <w:tab w:val="num" w:pos="0"/>
        </w:tabs>
        <w:ind w:left="5760" w:hanging="360"/>
      </w:pPr>
    </w:lvl>
    <w:lvl w:ilvl="8" w:tplc="E3DC00EE">
      <w:start w:val="1"/>
      <w:numFmt w:val="lowerRoman"/>
      <w:lvlText w:val="%9."/>
      <w:lvlJc w:val="right"/>
      <w:pPr>
        <w:tabs>
          <w:tab w:val="num" w:pos="0"/>
        </w:tabs>
        <w:ind w:left="6480" w:hanging="180"/>
      </w:pPr>
    </w:lvl>
  </w:abstractNum>
  <w:abstractNum w:abstractNumId="20" w15:restartNumberingAfterBreak="0">
    <w:nsid w:val="7C756AA3"/>
    <w:multiLevelType w:val="hybridMultilevel"/>
    <w:tmpl w:val="64E89B24"/>
    <w:lvl w:ilvl="0" w:tplc="2B1AFD8A">
      <w:start w:val="1"/>
      <w:numFmt w:val="upperLetter"/>
      <w:pStyle w:val="Titre2MCCC"/>
      <w:lvlText w:val="%1."/>
      <w:lvlJc w:val="left"/>
      <w:pPr>
        <w:tabs>
          <w:tab w:val="num" w:pos="0"/>
        </w:tabs>
        <w:ind w:left="1455" w:hanging="360"/>
      </w:pPr>
    </w:lvl>
    <w:lvl w:ilvl="1" w:tplc="59FC6E3C">
      <w:start w:val="1"/>
      <w:numFmt w:val="lowerLetter"/>
      <w:lvlText w:val="%2."/>
      <w:lvlJc w:val="left"/>
      <w:pPr>
        <w:tabs>
          <w:tab w:val="num" w:pos="0"/>
        </w:tabs>
        <w:ind w:left="2175" w:hanging="360"/>
      </w:pPr>
    </w:lvl>
    <w:lvl w:ilvl="2" w:tplc="6CB6FE14">
      <w:start w:val="1"/>
      <w:numFmt w:val="lowerRoman"/>
      <w:lvlText w:val="%3."/>
      <w:lvlJc w:val="right"/>
      <w:pPr>
        <w:tabs>
          <w:tab w:val="num" w:pos="0"/>
        </w:tabs>
        <w:ind w:left="2895" w:hanging="180"/>
      </w:pPr>
    </w:lvl>
    <w:lvl w:ilvl="3" w:tplc="114CD172">
      <w:start w:val="1"/>
      <w:numFmt w:val="decimal"/>
      <w:lvlText w:val="%4."/>
      <w:lvlJc w:val="left"/>
      <w:pPr>
        <w:tabs>
          <w:tab w:val="num" w:pos="0"/>
        </w:tabs>
        <w:ind w:left="3615" w:hanging="360"/>
      </w:pPr>
    </w:lvl>
    <w:lvl w:ilvl="4" w:tplc="924A8326">
      <w:start w:val="1"/>
      <w:numFmt w:val="lowerLetter"/>
      <w:lvlText w:val="%5."/>
      <w:lvlJc w:val="left"/>
      <w:pPr>
        <w:tabs>
          <w:tab w:val="num" w:pos="0"/>
        </w:tabs>
        <w:ind w:left="4335" w:hanging="360"/>
      </w:pPr>
    </w:lvl>
    <w:lvl w:ilvl="5" w:tplc="E51873DA">
      <w:start w:val="1"/>
      <w:numFmt w:val="lowerRoman"/>
      <w:lvlText w:val="%6."/>
      <w:lvlJc w:val="right"/>
      <w:pPr>
        <w:tabs>
          <w:tab w:val="num" w:pos="0"/>
        </w:tabs>
        <w:ind w:left="5055" w:hanging="180"/>
      </w:pPr>
    </w:lvl>
    <w:lvl w:ilvl="6" w:tplc="EA2E9B48">
      <w:start w:val="1"/>
      <w:numFmt w:val="decimal"/>
      <w:lvlText w:val="%7."/>
      <w:lvlJc w:val="left"/>
      <w:pPr>
        <w:tabs>
          <w:tab w:val="num" w:pos="0"/>
        </w:tabs>
        <w:ind w:left="5775" w:hanging="360"/>
      </w:pPr>
    </w:lvl>
    <w:lvl w:ilvl="7" w:tplc="9816EEDC">
      <w:start w:val="1"/>
      <w:numFmt w:val="lowerLetter"/>
      <w:lvlText w:val="%8."/>
      <w:lvlJc w:val="left"/>
      <w:pPr>
        <w:tabs>
          <w:tab w:val="num" w:pos="0"/>
        </w:tabs>
        <w:ind w:left="6495" w:hanging="360"/>
      </w:pPr>
    </w:lvl>
    <w:lvl w:ilvl="8" w:tplc="263E9670">
      <w:start w:val="1"/>
      <w:numFmt w:val="lowerRoman"/>
      <w:lvlText w:val="%9."/>
      <w:lvlJc w:val="right"/>
      <w:pPr>
        <w:tabs>
          <w:tab w:val="num" w:pos="0"/>
        </w:tabs>
        <w:ind w:left="7215" w:hanging="180"/>
      </w:pPr>
    </w:lvl>
  </w:abstractNum>
  <w:abstractNum w:abstractNumId="21" w15:restartNumberingAfterBreak="0">
    <w:nsid w:val="7F5A619E"/>
    <w:multiLevelType w:val="hybridMultilevel"/>
    <w:tmpl w:val="6CA80B40"/>
    <w:lvl w:ilvl="0" w:tplc="E376B5A0">
      <w:start w:val="1"/>
      <w:numFmt w:val="bullet"/>
      <w:lvlText w:val=""/>
      <w:lvlJc w:val="left"/>
      <w:pPr>
        <w:tabs>
          <w:tab w:val="num" w:pos="0"/>
        </w:tabs>
        <w:ind w:left="1080" w:hanging="360"/>
      </w:pPr>
      <w:rPr>
        <w:rFonts w:ascii="Wingdings" w:hAnsi="Wingdings" w:cs="Wingdings" w:hint="default"/>
      </w:rPr>
    </w:lvl>
    <w:lvl w:ilvl="1" w:tplc="58EE091A">
      <w:start w:val="1"/>
      <w:numFmt w:val="bullet"/>
      <w:lvlText w:val="o"/>
      <w:lvlJc w:val="left"/>
      <w:pPr>
        <w:tabs>
          <w:tab w:val="num" w:pos="0"/>
        </w:tabs>
        <w:ind w:left="1800" w:hanging="360"/>
      </w:pPr>
      <w:rPr>
        <w:rFonts w:ascii="Courier New" w:hAnsi="Courier New" w:cs="Courier New" w:hint="default"/>
      </w:rPr>
    </w:lvl>
    <w:lvl w:ilvl="2" w:tplc="931AF4F8">
      <w:start w:val="1"/>
      <w:numFmt w:val="bullet"/>
      <w:lvlText w:val=""/>
      <w:lvlJc w:val="left"/>
      <w:pPr>
        <w:tabs>
          <w:tab w:val="num" w:pos="0"/>
        </w:tabs>
        <w:ind w:left="2520" w:hanging="360"/>
      </w:pPr>
      <w:rPr>
        <w:rFonts w:ascii="Wingdings" w:hAnsi="Wingdings" w:cs="Wingdings" w:hint="default"/>
      </w:rPr>
    </w:lvl>
    <w:lvl w:ilvl="3" w:tplc="93E40772">
      <w:start w:val="1"/>
      <w:numFmt w:val="bullet"/>
      <w:lvlText w:val=""/>
      <w:lvlJc w:val="left"/>
      <w:pPr>
        <w:tabs>
          <w:tab w:val="num" w:pos="0"/>
        </w:tabs>
        <w:ind w:left="3240" w:hanging="360"/>
      </w:pPr>
      <w:rPr>
        <w:rFonts w:ascii="Symbol" w:hAnsi="Symbol" w:cs="Symbol" w:hint="default"/>
      </w:rPr>
    </w:lvl>
    <w:lvl w:ilvl="4" w:tplc="F93881C4">
      <w:start w:val="1"/>
      <w:numFmt w:val="bullet"/>
      <w:lvlText w:val="o"/>
      <w:lvlJc w:val="left"/>
      <w:pPr>
        <w:tabs>
          <w:tab w:val="num" w:pos="0"/>
        </w:tabs>
        <w:ind w:left="3960" w:hanging="360"/>
      </w:pPr>
      <w:rPr>
        <w:rFonts w:ascii="Courier New" w:hAnsi="Courier New" w:cs="Courier New" w:hint="default"/>
      </w:rPr>
    </w:lvl>
    <w:lvl w:ilvl="5" w:tplc="AF48067A">
      <w:start w:val="1"/>
      <w:numFmt w:val="bullet"/>
      <w:lvlText w:val=""/>
      <w:lvlJc w:val="left"/>
      <w:pPr>
        <w:tabs>
          <w:tab w:val="num" w:pos="0"/>
        </w:tabs>
        <w:ind w:left="4680" w:hanging="360"/>
      </w:pPr>
      <w:rPr>
        <w:rFonts w:ascii="Wingdings" w:hAnsi="Wingdings" w:cs="Wingdings" w:hint="default"/>
      </w:rPr>
    </w:lvl>
    <w:lvl w:ilvl="6" w:tplc="EFBC81B4">
      <w:start w:val="1"/>
      <w:numFmt w:val="bullet"/>
      <w:lvlText w:val=""/>
      <w:lvlJc w:val="left"/>
      <w:pPr>
        <w:tabs>
          <w:tab w:val="num" w:pos="0"/>
        </w:tabs>
        <w:ind w:left="5400" w:hanging="360"/>
      </w:pPr>
      <w:rPr>
        <w:rFonts w:ascii="Symbol" w:hAnsi="Symbol" w:cs="Symbol" w:hint="default"/>
      </w:rPr>
    </w:lvl>
    <w:lvl w:ilvl="7" w:tplc="43C89BD8">
      <w:start w:val="1"/>
      <w:numFmt w:val="bullet"/>
      <w:lvlText w:val="o"/>
      <w:lvlJc w:val="left"/>
      <w:pPr>
        <w:tabs>
          <w:tab w:val="num" w:pos="0"/>
        </w:tabs>
        <w:ind w:left="6120" w:hanging="360"/>
      </w:pPr>
      <w:rPr>
        <w:rFonts w:ascii="Courier New" w:hAnsi="Courier New" w:cs="Courier New" w:hint="default"/>
      </w:rPr>
    </w:lvl>
    <w:lvl w:ilvl="8" w:tplc="566CCAE0">
      <w:start w:val="1"/>
      <w:numFmt w:val="bullet"/>
      <w:lvlText w:val=""/>
      <w:lvlJc w:val="left"/>
      <w:pPr>
        <w:tabs>
          <w:tab w:val="num" w:pos="0"/>
        </w:tabs>
        <w:ind w:left="6840" w:hanging="360"/>
      </w:pPr>
      <w:rPr>
        <w:rFonts w:ascii="Wingdings" w:hAnsi="Wingdings" w:cs="Wingdings" w:hint="default"/>
      </w:rPr>
    </w:lvl>
  </w:abstractNum>
  <w:num w:numId="1">
    <w:abstractNumId w:val="15"/>
  </w:num>
  <w:num w:numId="2">
    <w:abstractNumId w:val="2"/>
  </w:num>
  <w:num w:numId="3">
    <w:abstractNumId w:val="1"/>
  </w:num>
  <w:num w:numId="4">
    <w:abstractNumId w:val="3"/>
  </w:num>
  <w:num w:numId="5">
    <w:abstractNumId w:val="14"/>
  </w:num>
  <w:num w:numId="6">
    <w:abstractNumId w:val="20"/>
  </w:num>
  <w:num w:numId="7">
    <w:abstractNumId w:val="18"/>
  </w:num>
  <w:num w:numId="8">
    <w:abstractNumId w:val="7"/>
  </w:num>
  <w:num w:numId="9">
    <w:abstractNumId w:val="6"/>
  </w:num>
  <w:num w:numId="10">
    <w:abstractNumId w:val="5"/>
  </w:num>
  <w:num w:numId="11">
    <w:abstractNumId w:val="0"/>
  </w:num>
  <w:num w:numId="12">
    <w:abstractNumId w:val="8"/>
  </w:num>
  <w:num w:numId="13">
    <w:abstractNumId w:val="16"/>
  </w:num>
  <w:num w:numId="14">
    <w:abstractNumId w:val="4"/>
  </w:num>
  <w:num w:numId="15">
    <w:abstractNumId w:val="17"/>
  </w:num>
  <w:num w:numId="16">
    <w:abstractNumId w:val="10"/>
  </w:num>
  <w:num w:numId="17">
    <w:abstractNumId w:val="12"/>
  </w:num>
  <w:num w:numId="18">
    <w:abstractNumId w:val="19"/>
  </w:num>
  <w:num w:numId="19">
    <w:abstractNumId w:val="9"/>
  </w:num>
  <w:num w:numId="20">
    <w:abstractNumId w:val="21"/>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14"/>
    <w:rsid w:val="000633BC"/>
    <w:rsid w:val="002B56E1"/>
    <w:rsid w:val="00304814"/>
    <w:rsid w:val="0038061B"/>
    <w:rsid w:val="004817A8"/>
    <w:rsid w:val="004B5776"/>
    <w:rsid w:val="00533D87"/>
    <w:rsid w:val="00561362"/>
    <w:rsid w:val="00631E5B"/>
    <w:rsid w:val="00893517"/>
    <w:rsid w:val="009241D0"/>
    <w:rsid w:val="00BF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ABEB"/>
  <w15:docId w15:val="{DDD7652D-06F0-438C-B461-1112DABF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ansinterligne"/>
    <w:next w:val="Normal"/>
    <w:link w:val="Titre1Car"/>
    <w:uiPriority w:val="9"/>
    <w:qFormat/>
    <w:pPr>
      <w:outlineLvl w:val="0"/>
    </w:pPr>
    <w:rPr>
      <w:sz w:val="16"/>
      <w:szCs w:val="16"/>
    </w:rPr>
  </w:style>
  <w:style w:type="paragraph" w:styleId="Titre2">
    <w:name w:val="heading 2"/>
    <w:basedOn w:val="Normal"/>
    <w:next w:val="Normal"/>
    <w:link w:val="Titre2Car"/>
    <w:uiPriority w:val="9"/>
    <w:unhideWhenUsed/>
    <w:qFormat/>
    <w:pPr>
      <w:ind w:right="-13"/>
      <w:outlineLvl w:val="1"/>
    </w:pPr>
    <w:rPr>
      <w:rFonts w:cs="GothamLight"/>
      <w:caps/>
      <w:color w:val="3A9DB8"/>
    </w:rPr>
  </w:style>
  <w:style w:type="paragraph" w:styleId="Titre3">
    <w:name w:val="heading 3"/>
    <w:basedOn w:val="Normal"/>
    <w:next w:val="Normal"/>
    <w:link w:val="Titre3C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qFormat/>
    <w:rPr>
      <w:rFonts w:ascii="Arial" w:eastAsia="Arial" w:hAnsi="Arial" w:cs="Arial"/>
      <w:sz w:val="40"/>
      <w:szCs w:val="40"/>
    </w:rPr>
  </w:style>
  <w:style w:type="character" w:customStyle="1" w:styleId="Titre2Car">
    <w:name w:val="Titre 2 Car"/>
    <w:basedOn w:val="Policepardfaut"/>
    <w:link w:val="Titre2"/>
    <w:uiPriority w:val="9"/>
    <w:qFormat/>
    <w:rPr>
      <w:rFonts w:ascii="Arial" w:eastAsia="Arial" w:hAnsi="Arial" w:cs="Arial"/>
      <w:sz w:val="34"/>
    </w:rPr>
  </w:style>
  <w:style w:type="character" w:customStyle="1" w:styleId="Titre3Car">
    <w:name w:val="Titre 3 Car"/>
    <w:basedOn w:val="Policepardfaut"/>
    <w:link w:val="Titre3"/>
    <w:uiPriority w:val="9"/>
    <w:qFormat/>
    <w:rPr>
      <w:rFonts w:ascii="Arial" w:eastAsia="Arial" w:hAnsi="Arial" w:cs="Arial"/>
      <w:sz w:val="30"/>
      <w:szCs w:val="30"/>
    </w:rPr>
  </w:style>
  <w:style w:type="character" w:customStyle="1" w:styleId="Titre4Car">
    <w:name w:val="Titre 4 Car"/>
    <w:basedOn w:val="Policepardfaut"/>
    <w:link w:val="Titre4"/>
    <w:uiPriority w:val="9"/>
    <w:qFormat/>
    <w:rPr>
      <w:rFonts w:ascii="Arial" w:eastAsia="Arial" w:hAnsi="Arial" w:cs="Arial"/>
      <w:b/>
      <w:bCs/>
      <w:sz w:val="26"/>
      <w:szCs w:val="26"/>
    </w:rPr>
  </w:style>
  <w:style w:type="character" w:customStyle="1" w:styleId="Titre5Car">
    <w:name w:val="Titre 5 Car"/>
    <w:basedOn w:val="Policepardfaut"/>
    <w:link w:val="Titre5"/>
    <w:uiPriority w:val="9"/>
    <w:qFormat/>
    <w:rPr>
      <w:rFonts w:ascii="Arial" w:eastAsia="Arial" w:hAnsi="Arial" w:cs="Arial"/>
      <w:b/>
      <w:bCs/>
      <w:sz w:val="24"/>
      <w:szCs w:val="24"/>
    </w:rPr>
  </w:style>
  <w:style w:type="character" w:customStyle="1" w:styleId="Titre6Car">
    <w:name w:val="Titre 6 Car"/>
    <w:basedOn w:val="Policepardfaut"/>
    <w:link w:val="Titre6"/>
    <w:uiPriority w:val="9"/>
    <w:qFormat/>
    <w:rPr>
      <w:rFonts w:ascii="Arial" w:eastAsia="Arial" w:hAnsi="Arial" w:cs="Arial"/>
      <w:b/>
      <w:bCs/>
      <w:sz w:val="22"/>
      <w:szCs w:val="22"/>
    </w:rPr>
  </w:style>
  <w:style w:type="character" w:customStyle="1" w:styleId="Titre7Car">
    <w:name w:val="Titre 7 Car"/>
    <w:basedOn w:val="Policepardfaut"/>
    <w:link w:val="Titre7"/>
    <w:uiPriority w:val="9"/>
    <w:qFormat/>
    <w:rPr>
      <w:rFonts w:ascii="Arial" w:eastAsia="Arial" w:hAnsi="Arial" w:cs="Arial"/>
      <w:b/>
      <w:bCs/>
      <w:i/>
      <w:iCs/>
      <w:sz w:val="22"/>
      <w:szCs w:val="22"/>
    </w:rPr>
  </w:style>
  <w:style w:type="character" w:customStyle="1" w:styleId="Titre8Car">
    <w:name w:val="Titre 8 Car"/>
    <w:basedOn w:val="Policepardfaut"/>
    <w:link w:val="Titre8"/>
    <w:uiPriority w:val="9"/>
    <w:qFormat/>
    <w:rPr>
      <w:rFonts w:ascii="Arial" w:eastAsia="Arial" w:hAnsi="Arial" w:cs="Arial"/>
      <w:i/>
      <w:iCs/>
      <w:sz w:val="22"/>
      <w:szCs w:val="22"/>
    </w:rPr>
  </w:style>
  <w:style w:type="character" w:customStyle="1" w:styleId="Titre9Car">
    <w:name w:val="Titre 9 Car"/>
    <w:basedOn w:val="Policepardfaut"/>
    <w:link w:val="Titre9"/>
    <w:uiPriority w:val="9"/>
    <w:qFormat/>
    <w:rPr>
      <w:rFonts w:ascii="Arial" w:eastAsia="Arial" w:hAnsi="Arial" w:cs="Arial"/>
      <w:i/>
      <w:iCs/>
      <w:sz w:val="21"/>
      <w:szCs w:val="21"/>
    </w:rPr>
  </w:style>
  <w:style w:type="character" w:customStyle="1" w:styleId="TitreCar">
    <w:name w:val="Titre Car"/>
    <w:basedOn w:val="Policepardfaut"/>
    <w:link w:val="Titre"/>
    <w:uiPriority w:val="10"/>
    <w:qFormat/>
    <w:rPr>
      <w:sz w:val="48"/>
      <w:szCs w:val="48"/>
    </w:rPr>
  </w:style>
  <w:style w:type="character" w:customStyle="1" w:styleId="Sous-titreCar">
    <w:name w:val="Sous-titre Car"/>
    <w:basedOn w:val="Policepardfaut"/>
    <w:link w:val="Sous-titre"/>
    <w:uiPriority w:val="11"/>
    <w:qFormat/>
    <w:rPr>
      <w:sz w:val="24"/>
      <w:szCs w:val="24"/>
    </w:rPr>
  </w:style>
  <w:style w:type="character" w:customStyle="1" w:styleId="CitationCar">
    <w:name w:val="Citation Car"/>
    <w:link w:val="Citation"/>
    <w:uiPriority w:val="29"/>
    <w:qFormat/>
    <w:rPr>
      <w:i/>
    </w:rPr>
  </w:style>
  <w:style w:type="character" w:customStyle="1" w:styleId="CitationintenseCar">
    <w:name w:val="Citation intense Car"/>
    <w:link w:val="Citationintense"/>
    <w:uiPriority w:val="30"/>
    <w:qFormat/>
    <w:rPr>
      <w:i/>
    </w:rPr>
  </w:style>
  <w:style w:type="character" w:customStyle="1" w:styleId="En-tteCar">
    <w:name w:val="En-tête Car"/>
    <w:basedOn w:val="Policepardfaut"/>
    <w:link w:val="En-tte"/>
    <w:uiPriority w:val="99"/>
    <w:qFormat/>
  </w:style>
  <w:style w:type="character" w:customStyle="1" w:styleId="FooterChar">
    <w:name w:val="Footer Char"/>
    <w:basedOn w:val="Policepardfaut"/>
    <w:uiPriority w:val="99"/>
    <w:qFormat/>
  </w:style>
  <w:style w:type="character" w:customStyle="1" w:styleId="CaptionChar">
    <w:name w:val="Caption Char"/>
    <w:uiPriority w:val="99"/>
    <w:qFormat/>
  </w:style>
  <w:style w:type="character" w:customStyle="1" w:styleId="NotedebasdepageCar">
    <w:name w:val="Note de bas de page Car"/>
    <w:link w:val="Notedebasdepage"/>
    <w:uiPriority w:val="99"/>
    <w:qFormat/>
    <w:rPr>
      <w:sz w:val="18"/>
    </w:rPr>
  </w:style>
  <w:style w:type="character" w:styleId="Appelnotedebasdep">
    <w:name w:val="footnote reference"/>
    <w:rPr>
      <w:vertAlign w:val="superscript"/>
    </w:rPr>
  </w:style>
  <w:style w:type="character" w:customStyle="1" w:styleId="FootnoteCharacters">
    <w:name w:val="Footnote Characters"/>
    <w:basedOn w:val="Policepardfaut"/>
    <w:uiPriority w:val="99"/>
    <w:unhideWhenUsed/>
    <w:qFormat/>
    <w:rPr>
      <w:vertAlign w:val="superscript"/>
    </w:rPr>
  </w:style>
  <w:style w:type="character" w:customStyle="1" w:styleId="NotedefinCar">
    <w:name w:val="Note de fin Car"/>
    <w:link w:val="Notedefin"/>
    <w:uiPriority w:val="99"/>
    <w:qFormat/>
    <w:rPr>
      <w:sz w:val="20"/>
    </w:rPr>
  </w:style>
  <w:style w:type="character" w:styleId="Appeldenotedefin">
    <w:name w:val="endnote reference"/>
    <w:rPr>
      <w:vertAlign w:val="superscript"/>
    </w:rPr>
  </w:style>
  <w:style w:type="character" w:customStyle="1" w:styleId="EndnoteCharacters">
    <w:name w:val="Endnote Characters"/>
    <w:basedOn w:val="Policepardfaut"/>
    <w:uiPriority w:val="99"/>
    <w:semiHidden/>
    <w:unhideWhenUsed/>
    <w:qFormat/>
    <w:rPr>
      <w:vertAlign w:val="superscript"/>
    </w:rPr>
  </w:style>
  <w:style w:type="character" w:styleId="Lienhypertexte">
    <w:name w:val="Hyperlink"/>
    <w:rPr>
      <w:color w:val="0000FF"/>
      <w:u w:val="single"/>
    </w:rPr>
  </w:style>
  <w:style w:type="character" w:customStyle="1" w:styleId="CommentaireCar">
    <w:name w:val="Commentaire Car"/>
    <w:basedOn w:val="Policepardfaut"/>
    <w:link w:val="Commentaire"/>
    <w:qFormat/>
    <w:rPr>
      <w:rFonts w:cs="Mangal"/>
      <w:sz w:val="20"/>
      <w:szCs w:val="18"/>
    </w:rPr>
  </w:style>
  <w:style w:type="character" w:styleId="Marquedecommentaire">
    <w:name w:val="annotation reference"/>
    <w:basedOn w:val="Policepardfaut"/>
    <w:uiPriority w:val="99"/>
    <w:semiHidden/>
    <w:unhideWhenUsed/>
    <w:qFormat/>
    <w:rPr>
      <w:sz w:val="16"/>
      <w:szCs w:val="16"/>
    </w:rPr>
  </w:style>
  <w:style w:type="character" w:customStyle="1" w:styleId="TextedebullesCar">
    <w:name w:val="Texte de bulles Car"/>
    <w:basedOn w:val="Policepardfaut"/>
    <w:link w:val="Textedebulles"/>
    <w:uiPriority w:val="99"/>
    <w:semiHidden/>
    <w:qFormat/>
    <w:rPr>
      <w:rFonts w:ascii="Segoe UI" w:hAnsi="Segoe UI" w:cs="Mangal"/>
      <w:sz w:val="18"/>
      <w:szCs w:val="16"/>
    </w:rPr>
  </w:style>
  <w:style w:type="character" w:customStyle="1" w:styleId="ObjetducommentaireCar">
    <w:name w:val="Objet du commentaire Car"/>
    <w:basedOn w:val="CommentaireCar"/>
    <w:link w:val="Objetducommentaire"/>
    <w:uiPriority w:val="99"/>
    <w:semiHidden/>
    <w:qFormat/>
    <w:rPr>
      <w:rFonts w:cs="Mangal"/>
      <w:b/>
      <w:bCs/>
      <w:sz w:val="20"/>
      <w:szCs w:val="18"/>
    </w:rPr>
  </w:style>
  <w:style w:type="character" w:styleId="Mentionnonrsolue">
    <w:name w:val="Unresolved Mention"/>
    <w:basedOn w:val="Policepardfaut"/>
    <w:uiPriority w:val="99"/>
    <w:semiHidden/>
    <w:unhideWhenUsed/>
    <w:qFormat/>
    <w:rPr>
      <w:color w:val="605E5C"/>
      <w:shd w:val="clear" w:color="auto" w:fill="E1DFDD"/>
    </w:rPr>
  </w:style>
  <w:style w:type="character" w:customStyle="1" w:styleId="ParagraphedelisteCar">
    <w:name w:val="Paragraphe de liste Car"/>
    <w:basedOn w:val="Policepardfaut"/>
    <w:link w:val="Paragraphedeliste"/>
    <w:uiPriority w:val="34"/>
    <w:qFormat/>
  </w:style>
  <w:style w:type="character" w:customStyle="1" w:styleId="Titres2MCCCCar">
    <w:name w:val="Titres 2 MCCC Car"/>
    <w:basedOn w:val="Policepardfaut"/>
    <w:link w:val="Titres2MCCC"/>
    <w:qFormat/>
    <w:rPr>
      <w:rFonts w:asciiTheme="minorHAnsi" w:hAnsiTheme="minorHAnsi"/>
      <w:b/>
      <w:color w:val="0484AF"/>
    </w:rPr>
  </w:style>
  <w:style w:type="character" w:customStyle="1" w:styleId="PieddepageCar">
    <w:name w:val="Pied de page Car"/>
    <w:basedOn w:val="Policepardfaut"/>
    <w:link w:val="Pieddepage"/>
    <w:uiPriority w:val="99"/>
    <w:qFormat/>
  </w:style>
  <w:style w:type="character" w:styleId="Numrodeligne">
    <w:name w:val="line number"/>
  </w:style>
  <w:style w:type="paragraph" w:styleId="Titre">
    <w:name w:val="Title"/>
    <w:basedOn w:val="Normal"/>
    <w:next w:val="Corpsdetexte"/>
    <w:link w:val="TitreCar"/>
    <w:uiPriority w:val="10"/>
    <w:qFormat/>
    <w:pPr>
      <w:keepNext/>
      <w:spacing w:before="240" w:after="120"/>
    </w:pPr>
    <w:rPr>
      <w:rFonts w:ascii="Liberation Sans" w:eastAsia="Noto Sans CJK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Sous-titre">
    <w:name w:val="Subtitle"/>
    <w:basedOn w:val="Normal"/>
    <w:next w:val="Normal"/>
    <w:link w:val="Sous-titreCar"/>
    <w:uiPriority w:val="11"/>
    <w:qFormat/>
    <w:pPr>
      <w:spacing w:before="200" w:after="200"/>
    </w:pPr>
  </w:style>
  <w:style w:type="paragraph" w:styleId="Citation">
    <w:name w:val="Quote"/>
    <w:basedOn w:val="Normal"/>
    <w:next w:val="Normal"/>
    <w:link w:val="CitationCar"/>
    <w:uiPriority w:val="29"/>
    <w:qFormat/>
    <w:pPr>
      <w:ind w:left="720" w:right="720"/>
    </w:pPr>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Notedebasdepage">
    <w:name w:val="footnote text"/>
    <w:basedOn w:val="Normal"/>
    <w:link w:val="NotedebasdepageCar"/>
    <w:uiPriority w:val="99"/>
    <w:semiHidden/>
    <w:unhideWhenUsed/>
    <w:pPr>
      <w:spacing w:after="40"/>
    </w:pPr>
    <w:rPr>
      <w:sz w:val="18"/>
    </w:rPr>
  </w:style>
  <w:style w:type="paragraph" w:styleId="Notedefin">
    <w:name w:val="endnote text"/>
    <w:basedOn w:val="Normal"/>
    <w:link w:val="NotedefinCar"/>
    <w:uiPriority w:val="99"/>
    <w:semiHidden/>
    <w:unhideWhenUsed/>
    <w:rPr>
      <w:sz w:val="20"/>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itreindex">
    <w:name w:val="index heading"/>
    <w:basedOn w:val="Titre"/>
  </w:style>
  <w:style w:type="paragraph" w:styleId="En-ttedetabledesmatires">
    <w:name w:val="TOC Heading"/>
    <w:uiPriority w:val="39"/>
    <w:unhideWhenUsed/>
  </w:style>
  <w:style w:type="paragraph" w:styleId="Tabledesillustrations">
    <w:name w:val="table of figures"/>
    <w:basedOn w:val="Normal"/>
    <w:next w:val="Normal"/>
    <w:uiPriority w:val="99"/>
    <w:unhideWhenUsed/>
    <w:qFormat/>
  </w:style>
  <w:style w:type="paragraph" w:styleId="Paragraphedeliste">
    <w:name w:val="List Paragraph"/>
    <w:basedOn w:val="Normal"/>
    <w:link w:val="ParagraphedelisteCar"/>
    <w:uiPriority w:val="34"/>
    <w:qFormat/>
    <w:pPr>
      <w:ind w:left="720"/>
      <w:contextualSpacing/>
    </w:pPr>
  </w:style>
  <w:style w:type="paragraph" w:styleId="Sansinterligne">
    <w:name w:val="No Spacing"/>
    <w:qFormat/>
    <w:rPr>
      <w:rFonts w:ascii="Century Gothic" w:hAnsi="Century Gothic"/>
      <w:color w:val="232220"/>
      <w:sz w:val="14"/>
      <w:szCs w:val="22"/>
      <w:lang w:eastAsia="en-US"/>
    </w:rPr>
  </w:style>
  <w:style w:type="paragraph" w:customStyle="1" w:styleId="Titres2MCCC">
    <w:name w:val="Titres 2 MCCC"/>
    <w:basedOn w:val="Normal"/>
    <w:link w:val="Titres2MCCCCar"/>
    <w:qFormat/>
    <w:pPr>
      <w:spacing w:before="360" w:after="240" w:line="360" w:lineRule="auto"/>
      <w:jc w:val="both"/>
    </w:pPr>
    <w:rPr>
      <w:rFonts w:asciiTheme="minorHAnsi" w:hAnsiTheme="minorHAnsi"/>
      <w:b/>
      <w:color w:val="0484AF"/>
    </w:rPr>
  </w:style>
  <w:style w:type="paragraph" w:customStyle="1" w:styleId="Contenudecadre">
    <w:name w:val="Contenu de cadre"/>
    <w:basedOn w:val="Normal"/>
    <w:qFormat/>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En-tteetpieddepage"/>
    <w:link w:val="En-tteCar"/>
  </w:style>
  <w:style w:type="paragraph" w:customStyle="1" w:styleId="Paragraphestandard">
    <w:name w:val="[Paragraphe standard]"/>
    <w:basedOn w:val="Normal"/>
    <w:qFormat/>
    <w:pPr>
      <w:spacing w:line="288" w:lineRule="auto"/>
    </w:pPr>
    <w:rPr>
      <w:rFonts w:ascii="Minion Pro" w:hAnsi="Minion Pro" w:cs="Minion Pro"/>
      <w:color w:val="000000"/>
      <w:lang w:eastAsia="fr-FR"/>
    </w:rPr>
  </w:style>
  <w:style w:type="paragraph" w:styleId="Pieddepage">
    <w:name w:val="footer"/>
    <w:basedOn w:val="En-tteetpieddepage"/>
    <w:link w:val="PieddepageCar"/>
    <w:uiPriority w:val="99"/>
  </w:style>
  <w:style w:type="paragraph" w:styleId="Commentaire">
    <w:name w:val="annotation text"/>
    <w:basedOn w:val="Normal"/>
    <w:link w:val="CommentaireCar"/>
    <w:unhideWhenUsed/>
    <w:qFormat/>
    <w:rPr>
      <w:rFonts w:cs="Mangal"/>
      <w:sz w:val="20"/>
      <w:szCs w:val="18"/>
    </w:rPr>
  </w:style>
  <w:style w:type="paragraph" w:styleId="Textedebulles">
    <w:name w:val="Balloon Text"/>
    <w:basedOn w:val="Normal"/>
    <w:link w:val="TextedebullesCar"/>
    <w:uiPriority w:val="99"/>
    <w:semiHidden/>
    <w:unhideWhenUsed/>
    <w:qFormat/>
    <w:rPr>
      <w:rFonts w:ascii="Segoe UI" w:hAnsi="Segoe UI" w:cs="Mangal"/>
      <w:sz w:val="18"/>
      <w:szCs w:val="16"/>
    </w:rPr>
  </w:style>
  <w:style w:type="paragraph" w:styleId="Objetducommentaire">
    <w:name w:val="annotation subject"/>
    <w:basedOn w:val="Commentaire"/>
    <w:next w:val="Commentaire"/>
    <w:link w:val="ObjetducommentaireCar"/>
    <w:uiPriority w:val="99"/>
    <w:semiHidden/>
    <w:unhideWhenUsed/>
    <w:qFormat/>
    <w:rPr>
      <w:b/>
      <w:bCs/>
    </w:rPr>
  </w:style>
  <w:style w:type="paragraph" w:customStyle="1" w:styleId="Titre2MCCC">
    <w:name w:val="Titre 2 MCCC"/>
    <w:basedOn w:val="Titre2"/>
    <w:qFormat/>
    <w:pPr>
      <w:keepNext/>
      <w:numPr>
        <w:numId w:val="6"/>
      </w:numPr>
      <w:tabs>
        <w:tab w:val="left" w:pos="397"/>
      </w:tabs>
      <w:spacing w:before="360" w:after="240"/>
      <w:ind w:left="501" w:right="0" w:firstLine="0"/>
    </w:pPr>
    <w:rPr>
      <w:rFonts w:asciiTheme="minorHAnsi" w:eastAsia="Times New Roman" w:hAnsiTheme="minorHAnsi" w:cs="Times New Roman"/>
      <w:b/>
      <w:bCs/>
      <w:caps w:val="0"/>
      <w:color w:val="008080"/>
      <w:szCs w:val="22"/>
    </w:rPr>
  </w:style>
  <w:style w:type="paragraph" w:customStyle="1" w:styleId="TableauNormal1">
    <w:name w:val="Tableau Normal1"/>
    <w:qFormat/>
    <w:rPr>
      <w:rFonts w:ascii="Times New Roman" w:eastAsia="Calibri" w:hAnsi="Times New Roman" w:cs="Times New Roman"/>
      <w:sz w:val="20"/>
      <w:szCs w:val="20"/>
      <w:lang w:eastAsia="fr-FR" w:bidi="ar-SA"/>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4472C4"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5B9BD5"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color w:val="FFFFFF"/>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color w:val="404040"/>
      </w:rPr>
      <w:tblPr/>
      <w:tcPr>
        <w:tcBorders>
          <w:top w:val="single" w:sz="4" w:space="0" w:color="4472C4"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1"/>
      </w:tcPr>
    </w:tblStylePr>
    <w:tblStylePr w:type="lastRow">
      <w:rPr>
        <w:b/>
        <w:color w:val="FFFFFF"/>
        <w:sz w:val="22"/>
      </w:rPr>
      <w:tblPr/>
      <w:tcPr>
        <w:tcBorders>
          <w:top w:val="single" w:sz="4" w:space="0" w:color="FFFFFF" w:themeColor="light1"/>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5"/>
      </w:tcPr>
    </w:tblStylePr>
    <w:tblStylePr w:type="lastRow">
      <w:rPr>
        <w:b/>
        <w:color w:val="FFFFFF"/>
        <w:sz w:val="22"/>
      </w:rPr>
      <w:tblPr/>
      <w:tcPr>
        <w:tcBorders>
          <w:top w:val="single" w:sz="4" w:space="0" w:color="FFFFFF" w:themeColor="light1"/>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1"/>
          <w:right w:val="single" w:sz="4" w:space="0" w:color="4472C4" w:themeColor="accent1"/>
        </w:tcBorders>
      </w:tcPr>
    </w:tblStylePr>
    <w:tblStylePr w:type="band1Horz">
      <w:rPr>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5"/>
          <w:right w:val="single" w:sz="4" w:space="0" w:color="5B9BD5" w:themeColor="accent5"/>
        </w:tcBorders>
      </w:tcPr>
    </w:tblStylePr>
    <w:tblStylePr w:type="band1Horz">
      <w:rPr>
        <w:color w:val="404040"/>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bidi="ar-SA"/>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TableauNormal"/>
    <w:uiPriority w:val="99"/>
    <w:rPr>
      <w:color w:val="404040"/>
      <w:sz w:val="20"/>
      <w:szCs w:val="20"/>
      <w:lang w:eastAsia="fr-FR" w:bidi="ar-SA"/>
    </w:rPr>
    <w:tblPr>
      <w:tblStyleRowBandSize w:val="1"/>
      <w:tblStyleColBandSize w:val="1"/>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Lined-Accent2">
    <w:name w:val="Lined - Accent 2"/>
    <w:basedOn w:val="TableauNormal"/>
    <w:uiPriority w:val="99"/>
    <w:rPr>
      <w:color w:val="404040"/>
      <w:sz w:val="20"/>
      <w:szCs w:val="20"/>
      <w:lang w:eastAsia="fr-FR" w:bidi="ar-SA"/>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TableauNormal"/>
    <w:uiPriority w:val="99"/>
    <w:rPr>
      <w:color w:val="404040"/>
      <w:sz w:val="20"/>
      <w:szCs w:val="20"/>
      <w:lang w:eastAsia="fr-FR" w:bidi="ar-SA"/>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TableauNormal"/>
    <w:uiPriority w:val="99"/>
    <w:rPr>
      <w:color w:val="404040"/>
      <w:sz w:val="20"/>
      <w:szCs w:val="20"/>
      <w:lang w:eastAsia="fr-FR" w:bidi="ar-SA"/>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TableauNormal"/>
    <w:uiPriority w:val="99"/>
    <w:rPr>
      <w:color w:val="404040"/>
      <w:sz w:val="20"/>
      <w:szCs w:val="20"/>
      <w:lang w:eastAsia="fr-FR" w:bidi="ar-SA"/>
    </w:rPr>
    <w:tblPr>
      <w:tblStyleRowBandSize w:val="1"/>
      <w:tblStyleColBandSize w:val="1"/>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Lined-Accent6">
    <w:name w:val="Lined - Accent 6"/>
    <w:basedOn w:val="TableauNormal"/>
    <w:uiPriority w:val="99"/>
    <w:rPr>
      <w:color w:val="404040"/>
      <w:sz w:val="20"/>
      <w:szCs w:val="20"/>
      <w:lang w:eastAsia="fr-FR" w:bidi="ar-SA"/>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bidi="ar-S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bidi="ar-SA"/>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bidi="ar-S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bidi="ar-SA"/>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bidi="ar-S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bidi="ar-S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color w:val="404040"/>
        <w:sz w:val="22"/>
      </w:rPr>
      <w:tblPr/>
      <w:tcPr>
        <w:tcBorders>
          <w:bottom w:val="single" w:sz="12" w:space="0" w:color="4472C4" w:themeColor="accent1"/>
        </w:tcBorders>
      </w:tcPr>
    </w:tblStylePr>
    <w:tblStylePr w:type="lastRow">
      <w:rPr>
        <w:color w:val="404040"/>
        <w:sz w:val="22"/>
      </w:rPr>
      <w:tblPr/>
      <w:tcPr>
        <w:tcBorders>
          <w:top w:val="single" w:sz="12" w:space="0" w:color="4472C4" w:themeColor="accent1"/>
        </w:tcBorders>
      </w:tcPr>
    </w:tblStylePr>
    <w:tblStylePr w:type="firstCol">
      <w:rPr>
        <w:color w:val="404040"/>
        <w:sz w:val="22"/>
      </w:rPr>
    </w:tblStylePr>
    <w:tblStylePr w:type="lastCol">
      <w:rPr>
        <w:color w:val="404040"/>
        <w:sz w:val="22"/>
      </w:rPr>
      <w:tblPr/>
      <w:tcPr>
        <w:tcBorders>
          <w:left w:val="single" w:sz="12" w:space="0" w:color="4472C4" w:themeColor="accent1"/>
        </w:tcBorders>
      </w:tc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color w:val="404040"/>
        <w:sz w:val="22"/>
      </w:rPr>
      <w:tblPr/>
      <w:tcPr>
        <w:tcBorders>
          <w:bottom w:val="single" w:sz="12" w:space="0" w:color="5B9BD5" w:themeColor="accent5"/>
        </w:tcBorders>
      </w:tcPr>
    </w:tblStylePr>
    <w:tblStylePr w:type="lastRow">
      <w:rPr>
        <w:color w:val="404040"/>
        <w:sz w:val="22"/>
      </w:rPr>
      <w:tblPr/>
      <w:tcPr>
        <w:tcBorders>
          <w:top w:val="single" w:sz="12" w:space="0" w:color="5B9BD5" w:themeColor="accent5"/>
        </w:tcBorders>
      </w:tcPr>
    </w:tblStylePr>
    <w:tblStylePr w:type="firstCol">
      <w:rPr>
        <w:color w:val="404040"/>
        <w:sz w:val="22"/>
      </w:rPr>
    </w:tblStylePr>
    <w:tblStylePr w:type="lastCol">
      <w:rPr>
        <w:color w:val="404040"/>
        <w:sz w:val="22"/>
      </w:rPr>
      <w:tblPr/>
      <w:tcPr>
        <w:tcBorders>
          <w:left w:val="single" w:sz="12" w:space="0" w:color="5B9BD5" w:themeColor="accent5"/>
        </w:tcBorders>
      </w:tc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styleId="Lienhypertextesuivivisit">
    <w:name w:val="FollowedHyperlink"/>
    <w:basedOn w:val="Policepardfaut"/>
    <w:uiPriority w:val="99"/>
    <w:semiHidden/>
    <w:unhideWhenUsed/>
    <w:rPr>
      <w:color w:val="954F72" w:themeColor="followedHyperlink"/>
      <w:u w:val="single"/>
    </w:rPr>
  </w:style>
  <w:style w:type="paragraph" w:customStyle="1" w:styleId="Default">
    <w:name w:val="Default"/>
    <w:basedOn w:val="Normal"/>
    <w:rsid w:val="00631E5B"/>
    <w:pPr>
      <w:autoSpaceDE w:val="0"/>
      <w:autoSpaceDN w:val="0"/>
    </w:pPr>
    <w:rPr>
      <w:rFonts w:ascii="Calibri" w:eastAsiaTheme="minorHAnsi" w:hAnsi="Calibri" w:cs="Calibri"/>
      <w:color w:val="00000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87486">
      <w:bodyDiv w:val="1"/>
      <w:marLeft w:val="0"/>
      <w:marRight w:val="0"/>
      <w:marTop w:val="0"/>
      <w:marBottom w:val="0"/>
      <w:divBdr>
        <w:top w:val="none" w:sz="0" w:space="0" w:color="auto"/>
        <w:left w:val="none" w:sz="0" w:space="0" w:color="auto"/>
        <w:bottom w:val="none" w:sz="0" w:space="0" w:color="auto"/>
        <w:right w:val="none" w:sz="0" w:space="0" w:color="auto"/>
      </w:divBdr>
    </w:div>
    <w:div w:id="16964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e-reussite.univ-lyon3.fr" TargetMode="External"/><Relationship Id="rId13" Type="http://schemas.openxmlformats.org/officeDocument/2006/relationships/hyperlink" Target="mailto:l2lea@univ-lyon3.f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1lea@univ-lyon3.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deslangues.univ-lyon3.fr//le-college-des-langues-pour-aller-plus-loin-des-la-premiere-annee-de-licen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acdeslangues.univ-lyon3.fr//le-tutorat-pedagogique-pour-reussir-sa-licence-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le-reussite@univ-lyon3.fr" TargetMode="External"/><Relationship Id="rId14" Type="http://schemas.openxmlformats.org/officeDocument/2006/relationships/hyperlink" Target="mailto:l3lea@univ-lyon3.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8262-E91E-45F7-B081-AC6FAB44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7269</Words>
  <Characters>39983</Characters>
  <Application>Microsoft Office Word</Application>
  <DocSecurity>0</DocSecurity>
  <Lines>333</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soldini</dc:creator>
  <dc:description/>
  <cp:lastModifiedBy>FERREIRO CASILLAS Fatima</cp:lastModifiedBy>
  <cp:revision>11</cp:revision>
  <dcterms:created xsi:type="dcterms:W3CDTF">2025-09-03T08:27:00Z</dcterms:created>
  <dcterms:modified xsi:type="dcterms:W3CDTF">2025-09-10T10:25:00Z</dcterms:modified>
  <dc:language>fr-FR</dc:language>
</cp:coreProperties>
</file>